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178" w:rsidRPr="00BB3EA6" w:rsidRDefault="00DE5178" w:rsidP="00DE5178">
      <w:pPr>
        <w:spacing w:after="240"/>
        <w:rPr>
          <w:i/>
          <w:sz w:val="18"/>
          <w:szCs w:val="18"/>
        </w:rPr>
      </w:pPr>
      <w:r>
        <w:rPr>
          <w:i/>
          <w:sz w:val="18"/>
          <w:szCs w:val="18"/>
        </w:rPr>
        <w:t>Physics &gt; Big idea PMA: Matter &gt; Topic PMA3: Energy of moving particles</w:t>
      </w:r>
      <w:bookmarkStart w:id="0" w:name="_GoBack"/>
      <w:bookmarkEnd w:id="0"/>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456C5B">
            <w:pPr>
              <w:ind w:left="1304"/>
              <w:rPr>
                <w:b/>
                <w:sz w:val="40"/>
                <w:szCs w:val="40"/>
              </w:rPr>
            </w:pPr>
            <w:r>
              <w:rPr>
                <w:b/>
                <w:sz w:val="40"/>
                <w:szCs w:val="40"/>
              </w:rPr>
              <w:t xml:space="preserve">Key concept </w:t>
            </w:r>
            <w:r w:rsidR="001B2603">
              <w:rPr>
                <w:b/>
                <w:sz w:val="40"/>
                <w:szCs w:val="40"/>
              </w:rPr>
              <w:t>(age 1</w:t>
            </w:r>
            <w:r w:rsidR="00456C5B">
              <w:rPr>
                <w:b/>
                <w:sz w:val="40"/>
                <w:szCs w:val="40"/>
              </w:rPr>
              <w:t>4</w:t>
            </w:r>
            <w:r w:rsidR="001B2603">
              <w:rPr>
                <w:b/>
                <w:sz w:val="40"/>
                <w:szCs w:val="40"/>
              </w:rPr>
              <w:t>-1</w:t>
            </w:r>
            <w:r w:rsidR="00456C5B">
              <w:rPr>
                <w:b/>
                <w:sz w:val="40"/>
                <w:szCs w:val="40"/>
              </w:rPr>
              <w:t>6</w:t>
            </w:r>
            <w:r w:rsidR="001B2603">
              <w:rPr>
                <w:b/>
                <w:sz w:val="40"/>
                <w:szCs w:val="40"/>
              </w:rPr>
              <w:t>)</w:t>
            </w:r>
          </w:p>
        </w:tc>
      </w:tr>
      <w:tr w:rsidR="006F3279" w:rsidTr="00AE3956">
        <w:trPr>
          <w:trHeight w:val="362"/>
        </w:trPr>
        <w:tc>
          <w:tcPr>
            <w:tcW w:w="16831" w:type="dxa"/>
            <w:shd w:val="clear" w:color="auto" w:fill="CCC0D9" w:themeFill="accent4" w:themeFillTint="66"/>
          </w:tcPr>
          <w:p w:rsidR="006F3279" w:rsidRPr="00CA4B46" w:rsidRDefault="0022442F" w:rsidP="00DE5178">
            <w:pPr>
              <w:spacing w:after="60"/>
              <w:ind w:left="1304"/>
              <w:rPr>
                <w:b/>
                <w:sz w:val="40"/>
                <w:szCs w:val="40"/>
              </w:rPr>
            </w:pPr>
            <w:r>
              <w:rPr>
                <w:b/>
                <w:sz w:val="40"/>
                <w:szCs w:val="40"/>
              </w:rPr>
              <w:t>P</w:t>
            </w:r>
            <w:r w:rsidR="00DE5178">
              <w:rPr>
                <w:b/>
                <w:sz w:val="40"/>
                <w:szCs w:val="40"/>
              </w:rPr>
              <w:t>MA3.3</w:t>
            </w:r>
            <w:r w:rsidR="00821188">
              <w:rPr>
                <w:b/>
                <w:sz w:val="40"/>
                <w:szCs w:val="40"/>
              </w:rPr>
              <w:t xml:space="preserve">: </w:t>
            </w:r>
            <w:r w:rsidR="00DE5178">
              <w:rPr>
                <w:b/>
                <w:sz w:val="40"/>
                <w:szCs w:val="40"/>
              </w:rPr>
              <w:t>Specific latent heat</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6A01DE" w:rsidRPr="00DE5178" w:rsidRDefault="00DE5178" w:rsidP="006A01DE">
      <w:pPr>
        <w:spacing w:after="180"/>
      </w:pPr>
      <w:r w:rsidRPr="00B31C39">
        <w:t>A big idea in physics is matter. Matter is a more formal word for ‘stuff’. Anything that can be stored in a container, or weighed, is matter. 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940006">
        <w:t xml:space="preserve">developing a physical understanding of why </w:t>
      </w:r>
      <w:r w:rsidR="00354A9D">
        <w:t xml:space="preserve">the </w:t>
      </w:r>
      <w:r w:rsidR="00940006">
        <w:t>temperature of a substance does not change during a change of state</w:t>
      </w:r>
      <w:r w:rsidR="00354A9D">
        <w:t>,</w:t>
      </w:r>
      <w:r w:rsidR="00940006">
        <w:t xml:space="preserve"> in order for students to understand calculations of specific latent heat. </w:t>
      </w:r>
    </w:p>
    <w:p w:rsidR="006A01DE" w:rsidRDefault="006A01DE" w:rsidP="006A01DE">
      <w:pPr>
        <w:spacing w:after="180"/>
      </w:pPr>
      <w:r>
        <w:t xml:space="preserve">The conceptual progression starts by checking understanding of </w:t>
      </w:r>
      <w:r w:rsidR="00940006">
        <w:t>the particle model of matter</w:t>
      </w:r>
      <w:r>
        <w:t xml:space="preserve">. It </w:t>
      </w:r>
      <w:r w:rsidR="005B4275">
        <w:t xml:space="preserve">then </w:t>
      </w:r>
      <w:r w:rsidR="00AA66F3">
        <w:t>supports the development of</w:t>
      </w:r>
      <w:r>
        <w:t xml:space="preserve"> </w:t>
      </w:r>
      <w:r w:rsidR="00940006">
        <w:t xml:space="preserve">understanding </w:t>
      </w:r>
      <w:r w:rsidR="00354A9D">
        <w:t xml:space="preserve">and interpreting the </w:t>
      </w:r>
      <w:r w:rsidR="00940006">
        <w:t>physical changes shown on heating curves</w:t>
      </w:r>
      <w:r w:rsidR="00D37CDC">
        <w:t>,</w:t>
      </w:r>
      <w:r w:rsidR="00940006">
        <w:t xml:space="preserve"> and then </w:t>
      </w:r>
      <w:r w:rsidR="00D37CDC">
        <w:t xml:space="preserve">on </w:t>
      </w:r>
      <w:r w:rsidR="00940006">
        <w:t>cooling curves</w:t>
      </w:r>
      <w:r w:rsidR="00D37CDC">
        <w:t>,</w:t>
      </w:r>
      <w:r w:rsidR="00940006">
        <w:t xml:space="preserve"> </w:t>
      </w:r>
      <w:r>
        <w:t>in o</w:t>
      </w:r>
      <w:r w:rsidR="00940006">
        <w:t>rder to enable understanding of specific latent heat</w:t>
      </w:r>
      <w:r w:rsidRPr="00940006">
        <w:t>.</w:t>
      </w:r>
    </w:p>
    <w:p w:rsidR="00761D32" w:rsidRPr="00B6703E" w:rsidRDefault="00FE427C" w:rsidP="00761D32">
      <w:pPr>
        <w:spacing w:after="200" w:line="276" w:lineRule="auto"/>
        <w:rPr>
          <w:b/>
          <w:color w:val="5F497A" w:themeColor="accent4" w:themeShade="BF"/>
          <w:sz w:val="24"/>
          <w:szCs w:val="24"/>
        </w:rPr>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4098985</wp:posOffset>
            </wp:positionH>
            <wp:positionV relativeFrom="paragraph">
              <wp:posOffset>71443</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B6703E"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6F3279" w:rsidRPr="006F3279" w:rsidRDefault="006F3279" w:rsidP="00E172C6">
      <w:pPr>
        <w:spacing w:after="180"/>
        <w:rPr>
          <w:b/>
        </w:rPr>
      </w:pP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482DEB">
        <w:rPr>
          <w:b/>
          <w:color w:val="5F497A" w:themeColor="accent4" w:themeShade="BF"/>
          <w:sz w:val="24"/>
        </w:rPr>
        <w:t>Specific latent heat</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AC6359" w:rsidP="00AC6359">
            <w:pPr>
              <w:jc w:val="center"/>
              <w:rPr>
                <w:rFonts w:cstheme="minorHAnsi"/>
                <w:sz w:val="24"/>
                <w:szCs w:val="20"/>
              </w:rPr>
            </w:pPr>
            <w:r>
              <w:rPr>
                <w:rFonts w:cstheme="minorHAnsi"/>
                <w:sz w:val="24"/>
                <w:szCs w:val="20"/>
              </w:rPr>
              <w:t>Specific latent heat (of a particular change of state) is the amount of energy needed to change the state of 1 kg of a substance without changing its temperature.</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354A9D">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354A9D">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AC6359" w:rsidP="009B5270">
            <w:pPr>
              <w:spacing w:after="120"/>
              <w:rPr>
                <w:rFonts w:cstheme="minorHAnsi"/>
                <w:sz w:val="20"/>
                <w:szCs w:val="20"/>
              </w:rPr>
            </w:pPr>
            <w:r>
              <w:rPr>
                <w:rFonts w:cstheme="minorHAnsi"/>
                <w:sz w:val="20"/>
                <w:szCs w:val="20"/>
              </w:rPr>
              <w:t xml:space="preserve">Describe the arrangement and movement of particles </w:t>
            </w:r>
            <w:r w:rsidR="00273117">
              <w:rPr>
                <w:rFonts w:cstheme="minorHAnsi"/>
                <w:sz w:val="20"/>
                <w:szCs w:val="20"/>
              </w:rPr>
              <w:t>in</w:t>
            </w:r>
            <w:r>
              <w:rPr>
                <w:rFonts w:cstheme="minorHAnsi"/>
                <w:sz w:val="20"/>
                <w:szCs w:val="20"/>
              </w:rPr>
              <w:t xml:space="preserve"> a substance in </w:t>
            </w:r>
            <w:r w:rsidR="00273117">
              <w:rPr>
                <w:rFonts w:cstheme="minorHAnsi"/>
                <w:sz w:val="20"/>
                <w:szCs w:val="20"/>
              </w:rPr>
              <w:t>the</w:t>
            </w:r>
            <w:r>
              <w:rPr>
                <w:rFonts w:cstheme="minorHAnsi"/>
                <w:sz w:val="20"/>
                <w:szCs w:val="20"/>
              </w:rPr>
              <w:t xml:space="preserve"> solid, liquid and gas states.</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273117" w:rsidRDefault="009D35C6" w:rsidP="009D35C6">
            <w:pPr>
              <w:spacing w:after="120"/>
              <w:rPr>
                <w:rFonts w:cstheme="minorHAnsi"/>
                <w:sz w:val="20"/>
                <w:szCs w:val="20"/>
              </w:rPr>
            </w:pPr>
            <w:r>
              <w:rPr>
                <w:rFonts w:cstheme="minorHAnsi"/>
                <w:sz w:val="20"/>
                <w:szCs w:val="20"/>
              </w:rPr>
              <w:t>Use the particle model to describe what happens to a substance when it changes state</w:t>
            </w:r>
            <w:r w:rsidR="00273117">
              <w:rPr>
                <w:rFonts w:cstheme="minorHAnsi"/>
                <w:sz w:val="20"/>
                <w:szCs w:val="20"/>
              </w:rPr>
              <w:t>.</w:t>
            </w:r>
          </w:p>
          <w:p w:rsidR="008A0C39" w:rsidRPr="00E675A8" w:rsidRDefault="00273117" w:rsidP="00273117">
            <w:pPr>
              <w:rPr>
                <w:rFonts w:cstheme="minorHAnsi"/>
                <w:sz w:val="20"/>
                <w:szCs w:val="20"/>
              </w:rPr>
            </w:pPr>
            <w:r w:rsidRPr="00273117">
              <w:rPr>
                <w:rFonts w:cstheme="minorHAnsi"/>
                <w:sz w:val="20"/>
                <w:szCs w:val="20"/>
              </w:rPr>
              <w:t xml:space="preserve"> </w:t>
            </w:r>
            <w:r w:rsidR="008A0C39">
              <w:rPr>
                <w:noProof/>
                <w:sz w:val="20"/>
                <w:lang w:eastAsia="en-GB"/>
              </w:rPr>
              <mc:AlternateContent>
                <mc:Choice Requires="wps">
                  <w:drawing>
                    <wp:inline distT="0" distB="0" distL="0" distR="0" wp14:anchorId="54FF0CB9" wp14:editId="5797EBD3">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8A0C39" w:rsidRPr="00620AFF" w:rsidRDefault="00295D89" w:rsidP="008A0C39">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4FF0CB9" id="Text Box 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QUgIAAKkEAAAOAAAAZHJzL2Uyb0RvYy54bWysVF1P2zAUfZ+0/2D5fU0oK2MVKepAnSYx&#10;QIKJZ9dxaCTb17PdJuzX79hJS8X2NO3F8f3w/Tjn3lxc9kaznfKhJVvxk0nJmbKS6tY+V/zH4+rD&#10;OWchClsLTVZV/EUFfrl4/+6ic3M1pQ3pWnmGIDbMO1fxTYxuXhRBbpQRYUJOWRgb8kZEiP65qL3o&#10;EN3oYlqWZ0VHvnaepAoB2uvByBc5ftMoGe+aJqjIdMVRW8ynz+c6ncXiQsyfvXCbVo5liH+owojW&#10;Iukh1LWIgm19+0co00pPgZo4kWQKappWqtwDujkp33TzsBFO5V4ATnAHmML/Cytvd/eetXXFp5xZ&#10;YUDRo+oj+0I9myZ0OhfmcHpwcIs91GB5rw9Qpqb7xpv0RTsMduD8csA2BZNQgqxyOuNMwjQtP89m&#10;Gfvi9bHzIX5VZFi6VNyDuoyo2N2EiELgundJuQLptl61WmchjYu60p7tBIgWUiobP+bnemu+Uz3o&#10;P81QRCoesfKEpSeDdBxNW9ZV/OwUJabgllKa4ZW2cE+QDK2nW+zX/QjgCNea6heg5WmYtuDkqkVP&#10;NyLEe+ExXgAIKxPvcDSakIvGG2cb8r/+pk/+YB1WzjqMa8XDz63wijP9zWIeTs9SayweC/5YWB8L&#10;dmuuCECdYDmdzFc89lHvr40n84TNWqasMAkrkbviMvq9cBWHNcJuSrVcZjfMtBPxxj44mYIn9BJn&#10;j/2T8G4kNmIibmk/2mL+ht/BN5PqltsI7DP5CekB15EA7ENmbtzdtHDHcvZ6/cMsfgM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D+miTQ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8A0C39" w:rsidRPr="00620AFF" w:rsidRDefault="00295D89" w:rsidP="008A0C39">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8A0C39" w:rsidP="009B5270">
            <w:pPr>
              <w:spacing w:after="120"/>
              <w:rPr>
                <w:rFonts w:cstheme="minorHAnsi"/>
                <w:sz w:val="20"/>
                <w:szCs w:val="20"/>
              </w:rPr>
            </w:pPr>
            <w:r>
              <w:rPr>
                <w:rFonts w:cstheme="minorHAnsi"/>
                <w:sz w:val="20"/>
                <w:szCs w:val="20"/>
              </w:rPr>
              <w:t>Make</w:t>
            </w:r>
            <w:r w:rsidR="00383970">
              <w:rPr>
                <w:rFonts w:cstheme="minorHAnsi"/>
                <w:sz w:val="20"/>
                <w:szCs w:val="20"/>
              </w:rPr>
              <w:t xml:space="preserve"> and understand</w:t>
            </w:r>
            <w:r>
              <w:rPr>
                <w:rFonts w:cstheme="minorHAnsi"/>
                <w:sz w:val="20"/>
                <w:szCs w:val="20"/>
              </w:rPr>
              <w:t xml:space="preserve"> calculations using the equation E = m</w:t>
            </w:r>
            <w:r w:rsidR="005B6C6A">
              <w:rPr>
                <w:rFonts w:cstheme="minorHAnsi"/>
                <w:sz w:val="20"/>
                <w:szCs w:val="20"/>
              </w:rPr>
              <w:t xml:space="preserve"> x </w:t>
            </w:r>
            <w:r w:rsidR="00383970">
              <w:rPr>
                <w:rFonts w:cstheme="minorHAnsi"/>
                <w:sz w:val="20"/>
                <w:szCs w:val="20"/>
              </w:rPr>
              <w:t>L</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E2512F" w:rsidP="00412CEE">
            <w:pPr>
              <w:spacing w:after="120"/>
              <w:rPr>
                <w:rFonts w:cstheme="minorHAnsi"/>
                <w:sz w:val="20"/>
                <w:szCs w:val="20"/>
              </w:rPr>
            </w:pPr>
            <w:r>
              <w:rPr>
                <w:rFonts w:cstheme="minorHAnsi"/>
                <w:sz w:val="20"/>
                <w:szCs w:val="20"/>
              </w:rPr>
              <w:t>I</w:t>
            </w:r>
            <w:r w:rsidR="008A0C39">
              <w:rPr>
                <w:rFonts w:cstheme="minorHAnsi"/>
                <w:sz w:val="20"/>
                <w:szCs w:val="20"/>
              </w:rPr>
              <w:t>nterpret a heating curve</w:t>
            </w:r>
            <w:r>
              <w:rPr>
                <w:rFonts w:cstheme="minorHAnsi"/>
                <w:sz w:val="20"/>
                <w:szCs w:val="20"/>
              </w:rPr>
              <w:t xml:space="preserve"> </w:t>
            </w:r>
            <w:r w:rsidR="002F73A9">
              <w:rPr>
                <w:rFonts w:cstheme="minorHAnsi"/>
                <w:sz w:val="20"/>
                <w:szCs w:val="20"/>
              </w:rPr>
              <w:t xml:space="preserve">and </w:t>
            </w:r>
            <w:r>
              <w:rPr>
                <w:rFonts w:cstheme="minorHAnsi"/>
                <w:sz w:val="20"/>
                <w:szCs w:val="20"/>
              </w:rPr>
              <w:t xml:space="preserve">explain physical changes to a substance that is heated from the solid state to the </w:t>
            </w:r>
            <w:r w:rsidR="00412CEE">
              <w:rPr>
                <w:rFonts w:cstheme="minorHAnsi"/>
                <w:sz w:val="20"/>
                <w:szCs w:val="20"/>
              </w:rPr>
              <w:t>liquid</w:t>
            </w:r>
            <w:r>
              <w:rPr>
                <w:rFonts w:cstheme="minorHAnsi"/>
                <w:sz w:val="20"/>
                <w:szCs w:val="20"/>
              </w:rPr>
              <w:t xml:space="preserve"> state</w:t>
            </w:r>
            <w:r w:rsidR="00412CEE">
              <w:rPr>
                <w:rFonts w:cstheme="minorHAnsi"/>
                <w:sz w:val="20"/>
                <w:szCs w:val="20"/>
              </w:rPr>
              <w:t>, or from the liquid state to the gas state</w:t>
            </w:r>
            <w:r w:rsidR="002F73A9">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Pr="000A4D1F" w:rsidRDefault="005E4A00" w:rsidP="00412CEE">
            <w:pPr>
              <w:pStyle w:val="NoSpacing"/>
              <w:spacing w:after="120"/>
              <w:rPr>
                <w:rFonts w:asciiTheme="minorHAnsi" w:hAnsiTheme="minorHAnsi" w:cstheme="minorHAnsi"/>
                <w:sz w:val="20"/>
                <w:szCs w:val="20"/>
              </w:rPr>
            </w:pPr>
            <w:r w:rsidRPr="005E4A00">
              <w:rPr>
                <w:rFonts w:asciiTheme="minorHAnsi" w:hAnsiTheme="minorHAnsi" w:cstheme="minorHAnsi"/>
                <w:sz w:val="20"/>
                <w:szCs w:val="20"/>
              </w:rPr>
              <w:t xml:space="preserve">Interpret a </w:t>
            </w:r>
            <w:r>
              <w:rPr>
                <w:rFonts w:asciiTheme="minorHAnsi" w:hAnsiTheme="minorHAnsi" w:cstheme="minorHAnsi"/>
                <w:sz w:val="20"/>
                <w:szCs w:val="20"/>
              </w:rPr>
              <w:t>cool</w:t>
            </w:r>
            <w:r w:rsidRPr="005E4A00">
              <w:rPr>
                <w:rFonts w:asciiTheme="minorHAnsi" w:hAnsiTheme="minorHAnsi" w:cstheme="minorHAnsi"/>
                <w:sz w:val="20"/>
                <w:szCs w:val="20"/>
              </w:rPr>
              <w:t xml:space="preserve">ing curve and explain physical changes to a substance that is </w:t>
            </w:r>
            <w:r>
              <w:rPr>
                <w:rFonts w:asciiTheme="minorHAnsi" w:hAnsiTheme="minorHAnsi" w:cstheme="minorHAnsi"/>
                <w:sz w:val="20"/>
                <w:szCs w:val="20"/>
              </w:rPr>
              <w:t>cooled</w:t>
            </w:r>
            <w:r w:rsidRPr="005E4A00">
              <w:rPr>
                <w:rFonts w:asciiTheme="minorHAnsi" w:hAnsiTheme="minorHAnsi" w:cstheme="minorHAnsi"/>
                <w:sz w:val="20"/>
                <w:szCs w:val="20"/>
              </w:rPr>
              <w:t xml:space="preserve"> from the </w:t>
            </w:r>
            <w:r>
              <w:rPr>
                <w:rFonts w:asciiTheme="minorHAnsi" w:hAnsiTheme="minorHAnsi" w:cstheme="minorHAnsi"/>
                <w:sz w:val="20"/>
                <w:szCs w:val="20"/>
              </w:rPr>
              <w:t>gas</w:t>
            </w:r>
            <w:r w:rsidRPr="005E4A00">
              <w:rPr>
                <w:rFonts w:asciiTheme="minorHAnsi" w:hAnsiTheme="minorHAnsi" w:cstheme="minorHAnsi"/>
                <w:sz w:val="20"/>
                <w:szCs w:val="20"/>
              </w:rPr>
              <w:t xml:space="preserve"> </w:t>
            </w:r>
            <w:r>
              <w:rPr>
                <w:rFonts w:asciiTheme="minorHAnsi" w:hAnsiTheme="minorHAnsi" w:cstheme="minorHAnsi"/>
                <w:sz w:val="20"/>
                <w:szCs w:val="20"/>
              </w:rPr>
              <w:t>s</w:t>
            </w:r>
            <w:r w:rsidRPr="005E4A00">
              <w:rPr>
                <w:rFonts w:asciiTheme="minorHAnsi" w:hAnsiTheme="minorHAnsi" w:cstheme="minorHAnsi"/>
                <w:sz w:val="20"/>
                <w:szCs w:val="20"/>
              </w:rPr>
              <w:t xml:space="preserve">tate to the </w:t>
            </w:r>
            <w:r w:rsidR="00412CEE">
              <w:rPr>
                <w:rFonts w:asciiTheme="minorHAnsi" w:hAnsiTheme="minorHAnsi" w:cstheme="minorHAnsi"/>
                <w:sz w:val="20"/>
                <w:szCs w:val="20"/>
              </w:rPr>
              <w:t>liquid</w:t>
            </w:r>
            <w:r w:rsidRPr="005E4A00">
              <w:rPr>
                <w:rFonts w:asciiTheme="minorHAnsi" w:hAnsiTheme="minorHAnsi" w:cstheme="minorHAnsi"/>
                <w:sz w:val="20"/>
                <w:szCs w:val="20"/>
              </w:rPr>
              <w:t xml:space="preserve"> state</w:t>
            </w:r>
            <w:r w:rsidR="00412CEE">
              <w:rPr>
                <w:rFonts w:asciiTheme="minorHAnsi" w:hAnsiTheme="minorHAnsi" w:cstheme="minorHAnsi"/>
                <w:sz w:val="20"/>
                <w:szCs w:val="20"/>
              </w:rPr>
              <w:t>, or from the liquid state to the solid state</w:t>
            </w:r>
            <w:r w:rsidRPr="005E4A00">
              <w:rPr>
                <w:rFonts w:asciiTheme="minorHAnsi" w:hAnsiTheme="minorHAnsi" w:cstheme="minorHAnsi"/>
                <w:sz w:val="20"/>
                <w:szCs w:val="20"/>
              </w:rPr>
              <w:t>.</w:t>
            </w:r>
          </w:p>
        </w:tc>
      </w:tr>
      <w:tr w:rsidR="00761D32" w:rsidRPr="00E675A8" w:rsidTr="00B163B2">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B163B2" w:rsidRPr="00E675A8" w:rsidTr="00B163B2">
        <w:trPr>
          <w:trHeight w:val="748"/>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B163B2" w:rsidRPr="003C7537" w:rsidRDefault="00B163B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B163B2" w:rsidRPr="00E675A8" w:rsidRDefault="00B163B2" w:rsidP="009B5270">
            <w:pPr>
              <w:jc w:val="center"/>
              <w:rPr>
                <w:rFonts w:cstheme="minorHAnsi"/>
                <w:sz w:val="20"/>
                <w:szCs w:val="20"/>
              </w:rPr>
            </w:pPr>
            <w:r>
              <w:rPr>
                <w:rFonts w:cstheme="minorHAnsi"/>
                <w:sz w:val="20"/>
                <w:szCs w:val="20"/>
              </w:rPr>
              <w:t>A particle model for the solid, liquid and gas states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B163B2" w:rsidRPr="00F95B9B" w:rsidRDefault="00B163B2" w:rsidP="009B5270">
            <w:pPr>
              <w:jc w:val="center"/>
              <w:rPr>
                <w:rFonts w:cstheme="minorHAnsi"/>
                <w:color w:val="FF0000"/>
                <w:sz w:val="20"/>
                <w:szCs w:val="20"/>
              </w:rPr>
            </w:pPr>
            <w:r w:rsidRPr="00D84AC0">
              <w:rPr>
                <w:rFonts w:cstheme="minorHAnsi"/>
                <w:sz w:val="20"/>
                <w:szCs w:val="20"/>
              </w:rPr>
              <w:t>Cheese on toast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B163B2" w:rsidRPr="005C754D" w:rsidRDefault="00D656B1" w:rsidP="005C754D">
            <w:pPr>
              <w:jc w:val="center"/>
              <w:rPr>
                <w:rFonts w:cstheme="minorHAnsi"/>
                <w:color w:val="984806" w:themeColor="accent6" w:themeShade="80"/>
                <w:sz w:val="20"/>
                <w:szCs w:val="20"/>
              </w:rPr>
            </w:pPr>
            <w:r w:rsidRPr="005C754D">
              <w:rPr>
                <w:rFonts w:cstheme="minorHAnsi"/>
                <w:sz w:val="20"/>
                <w:szCs w:val="20"/>
              </w:rPr>
              <w:t>Hidden energy</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B163B2" w:rsidRPr="00F95B9B" w:rsidRDefault="003B3A28" w:rsidP="00254B3F">
            <w:pPr>
              <w:jc w:val="center"/>
              <w:rPr>
                <w:rFonts w:cstheme="minorHAnsi"/>
                <w:color w:val="FF0000"/>
                <w:sz w:val="20"/>
                <w:szCs w:val="20"/>
              </w:rPr>
            </w:pPr>
            <w:r w:rsidRPr="00E24902">
              <w:rPr>
                <w:rFonts w:cstheme="minorHAnsi"/>
                <w:sz w:val="20"/>
                <w:szCs w:val="20"/>
              </w:rPr>
              <w:t>Boiling point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B163B2" w:rsidRPr="00A01C45" w:rsidRDefault="00E24902" w:rsidP="00381441">
            <w:pPr>
              <w:jc w:val="center"/>
              <w:rPr>
                <w:rFonts w:cstheme="minorHAnsi"/>
                <w:sz w:val="20"/>
                <w:szCs w:val="20"/>
              </w:rPr>
            </w:pPr>
            <w:r w:rsidRPr="00A01C45">
              <w:rPr>
                <w:rFonts w:cstheme="minorHAnsi"/>
                <w:sz w:val="20"/>
                <w:szCs w:val="20"/>
              </w:rPr>
              <w:t>Freezing point</w:t>
            </w:r>
          </w:p>
        </w:tc>
      </w:tr>
      <w:tr w:rsidR="00B163B2" w:rsidRPr="00C5553B" w:rsidTr="00B163B2">
        <w:trPr>
          <w:trHeight w:val="269"/>
        </w:trPr>
        <w:tc>
          <w:tcPr>
            <w:tcW w:w="1545" w:type="dxa"/>
            <w:vMerge/>
            <w:tcBorders>
              <w:left w:val="single" w:sz="8" w:space="0" w:color="5F497A" w:themeColor="accent4" w:themeShade="BF"/>
              <w:right w:val="single" w:sz="8" w:space="0" w:color="5F497A" w:themeColor="accent4" w:themeShade="BF"/>
            </w:tcBorders>
            <w:shd w:val="clear" w:color="auto" w:fill="5F497A" w:themeFill="accent4" w:themeFillShade="BF"/>
          </w:tcPr>
          <w:p w:rsidR="00B163B2" w:rsidRPr="00B37C53" w:rsidRDefault="00B163B2" w:rsidP="009B5270">
            <w:pPr>
              <w:rPr>
                <w:rFonts w:cstheme="minorHAnsi"/>
                <w:b/>
                <w:color w:val="FFFFFF" w:themeColor="background1"/>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E675A8" w:rsidRDefault="00B163B2" w:rsidP="009B5270">
            <w:pPr>
              <w:jc w:val="center"/>
              <w:rPr>
                <w:rFonts w:cstheme="minorHAnsi"/>
                <w:sz w:val="20"/>
                <w:szCs w:val="20"/>
              </w:rPr>
            </w:pP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B163B2" w:rsidRPr="00F95B9B" w:rsidRDefault="004C674A" w:rsidP="009B5270">
            <w:pPr>
              <w:jc w:val="center"/>
              <w:rPr>
                <w:rFonts w:cstheme="minorHAnsi"/>
                <w:color w:val="FF0000"/>
                <w:sz w:val="20"/>
                <w:szCs w:val="20"/>
              </w:rPr>
            </w:pPr>
            <w:r w:rsidRPr="00450457">
              <w:rPr>
                <w:rFonts w:cstheme="minorHAnsi"/>
                <w:sz w:val="20"/>
                <w:szCs w:val="20"/>
              </w:rPr>
              <w:t>Boiling water</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F95B9B" w:rsidRDefault="00B163B2" w:rsidP="00B163B2">
            <w:pPr>
              <w:jc w:val="center"/>
              <w:rPr>
                <w:rFonts w:cstheme="minorHAnsi"/>
                <w:color w:val="FF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F95B9B" w:rsidRDefault="00B163B2" w:rsidP="009B5270">
            <w:pPr>
              <w:jc w:val="center"/>
              <w:rPr>
                <w:rFonts w:cstheme="minorHAnsi"/>
                <w:color w:val="FF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F95B9B" w:rsidRDefault="00B163B2" w:rsidP="009B5270">
            <w:pPr>
              <w:jc w:val="center"/>
              <w:rPr>
                <w:rFonts w:cstheme="minorHAnsi"/>
                <w:color w:val="FF0000"/>
                <w:sz w:val="20"/>
                <w:szCs w:val="20"/>
              </w:rPr>
            </w:pPr>
          </w:p>
        </w:tc>
      </w:tr>
      <w:tr w:rsidR="00B163B2" w:rsidRPr="00C5553B" w:rsidTr="00021709">
        <w:trPr>
          <w:trHeight w:val="269"/>
        </w:trPr>
        <w:tc>
          <w:tcPr>
            <w:tcW w:w="1545" w:type="dxa"/>
            <w:vMerge/>
            <w:tcBorders>
              <w:left w:val="single" w:sz="8" w:space="0" w:color="5F497A" w:themeColor="accent4" w:themeShade="BF"/>
              <w:right w:val="single" w:sz="8" w:space="0" w:color="5F497A" w:themeColor="accent4" w:themeShade="BF"/>
            </w:tcBorders>
            <w:shd w:val="clear" w:color="auto" w:fill="5F497A" w:themeFill="accent4" w:themeFillShade="BF"/>
          </w:tcPr>
          <w:p w:rsidR="00B163B2" w:rsidRPr="00B37C53" w:rsidRDefault="00B163B2" w:rsidP="009B5270">
            <w:pPr>
              <w:rPr>
                <w:rFonts w:cstheme="minorHAnsi"/>
                <w:b/>
                <w:color w:val="FFFFFF" w:themeColor="background1"/>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E675A8" w:rsidRDefault="00B163B2" w:rsidP="009B5270">
            <w:pPr>
              <w:jc w:val="center"/>
              <w:rPr>
                <w:rFonts w:cstheme="minorHAnsi"/>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F95B9B" w:rsidRDefault="00B163B2" w:rsidP="009B5270">
            <w:pPr>
              <w:jc w:val="center"/>
              <w:rPr>
                <w:rFonts w:cstheme="minorHAnsi"/>
                <w:color w:val="FF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F95B9B" w:rsidRDefault="00B163B2" w:rsidP="00B163B2">
            <w:pPr>
              <w:jc w:val="center"/>
              <w:rPr>
                <w:rFonts w:cstheme="minorHAnsi"/>
                <w:color w:val="FF0000"/>
                <w:sz w:val="20"/>
                <w:szCs w:val="20"/>
              </w:rPr>
            </w:pPr>
          </w:p>
        </w:tc>
        <w:tc>
          <w:tcPr>
            <w:tcW w:w="2439" w:type="dxa"/>
            <w:vMerge w:val="restart"/>
            <w:tcBorders>
              <w:left w:val="single" w:sz="8" w:space="0" w:color="5F497A" w:themeColor="accent4" w:themeShade="BF"/>
              <w:right w:val="single" w:sz="8" w:space="0" w:color="5F497A" w:themeColor="accent4" w:themeShade="BF"/>
            </w:tcBorders>
            <w:shd w:val="clear" w:color="auto" w:fill="auto"/>
            <w:vAlign w:val="center"/>
          </w:tcPr>
          <w:p w:rsidR="00B163B2" w:rsidRPr="00F95B9B" w:rsidRDefault="00F06EB1" w:rsidP="00CC4AD1">
            <w:pPr>
              <w:jc w:val="center"/>
              <w:rPr>
                <w:rFonts w:cstheme="minorHAnsi"/>
                <w:color w:val="FF0000"/>
                <w:sz w:val="20"/>
                <w:szCs w:val="20"/>
              </w:rPr>
            </w:pPr>
            <w:r w:rsidRPr="00891C15">
              <w:rPr>
                <w:rFonts w:cstheme="minorHAnsi"/>
                <w:sz w:val="20"/>
                <w:szCs w:val="20"/>
              </w:rPr>
              <w:t>Melting point</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F95B9B" w:rsidRDefault="00B163B2" w:rsidP="009B5270">
            <w:pPr>
              <w:jc w:val="center"/>
              <w:rPr>
                <w:rFonts w:cstheme="minorHAnsi"/>
                <w:color w:val="FF0000"/>
                <w:sz w:val="20"/>
                <w:szCs w:val="20"/>
              </w:rPr>
            </w:pPr>
          </w:p>
        </w:tc>
      </w:tr>
      <w:tr w:rsidR="00B163B2" w:rsidRPr="00E675A8" w:rsidTr="00021709">
        <w:trPr>
          <w:trHeight w:val="620"/>
        </w:trPr>
        <w:tc>
          <w:tcPr>
            <w:tcW w:w="1545" w:type="dxa"/>
            <w:vMerge/>
            <w:tcBorders>
              <w:left w:val="single" w:sz="8" w:space="0" w:color="5F497A" w:themeColor="accent4" w:themeShade="BF"/>
              <w:right w:val="single" w:sz="8" w:space="0" w:color="5F497A" w:themeColor="accent4" w:themeShade="BF"/>
            </w:tcBorders>
            <w:shd w:val="clear" w:color="auto" w:fill="5F497A" w:themeFill="accent4" w:themeFillShade="BF"/>
          </w:tcPr>
          <w:p w:rsidR="00B163B2" w:rsidRPr="00B37C53" w:rsidRDefault="00B163B2" w:rsidP="009B5270">
            <w:pPr>
              <w:rPr>
                <w:rFonts w:cstheme="minorHAnsi"/>
                <w:b/>
                <w:color w:val="FFFFFF" w:themeColor="background1"/>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E675A8" w:rsidRDefault="00B163B2" w:rsidP="009B5270">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B163B2" w:rsidRPr="00F95B9B" w:rsidRDefault="004C674A" w:rsidP="009B5270">
            <w:pPr>
              <w:jc w:val="center"/>
              <w:rPr>
                <w:rFonts w:cstheme="minorHAnsi"/>
                <w:color w:val="FF0000"/>
                <w:sz w:val="20"/>
                <w:szCs w:val="20"/>
              </w:rPr>
            </w:pPr>
            <w:r w:rsidRPr="00894AE5">
              <w:rPr>
                <w:rFonts w:cstheme="minorHAnsi"/>
                <w:sz w:val="20"/>
                <w:szCs w:val="20"/>
              </w:rPr>
              <w:t>The state of water</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F95B9B" w:rsidRDefault="00B163B2" w:rsidP="009B5270">
            <w:pPr>
              <w:jc w:val="center"/>
              <w:rPr>
                <w:rFonts w:cstheme="minorHAnsi"/>
                <w:color w:val="FF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F95B9B" w:rsidRDefault="00B163B2" w:rsidP="009B5270">
            <w:pPr>
              <w:jc w:val="center"/>
              <w:rPr>
                <w:rFonts w:cstheme="minorHAnsi"/>
                <w:color w:val="FF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B163B2" w:rsidRPr="00F95B9B" w:rsidRDefault="00B163B2" w:rsidP="009B5270">
            <w:pPr>
              <w:jc w:val="center"/>
              <w:rPr>
                <w:rFonts w:cstheme="minorHAnsi"/>
                <w:color w:val="FF0000"/>
                <w:sz w:val="20"/>
                <w:szCs w:val="20"/>
              </w:rPr>
            </w:pPr>
          </w:p>
        </w:tc>
      </w:tr>
      <w:tr w:rsidR="00761D32" w:rsidRPr="00E675A8" w:rsidTr="00F95B9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F95B9B"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F95B9B"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F95B9B"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F95B9B" w:rsidRDefault="00761D32" w:rsidP="009B5270">
            <w:pPr>
              <w:jc w:val="center"/>
              <w:rPr>
                <w:rFonts w:cstheme="minorHAnsi"/>
                <w:color w:val="FF0000"/>
                <w:sz w:val="20"/>
                <w:szCs w:val="20"/>
              </w:rPr>
            </w:pPr>
          </w:p>
        </w:tc>
      </w:tr>
      <w:tr w:rsidR="00761D32" w:rsidRPr="00E675A8" w:rsidTr="00F95B9B">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761D32" w:rsidRPr="003C7537" w:rsidRDefault="004E2255" w:rsidP="009B5270">
            <w:pPr>
              <w:rPr>
                <w:rFonts w:cstheme="minorHAnsi"/>
                <w:b/>
                <w:color w:val="FFFFFF" w:themeColor="background1"/>
                <w:sz w:val="20"/>
                <w:szCs w:val="20"/>
              </w:rPr>
            </w:pPr>
            <w:r>
              <w:rPr>
                <w:rFonts w:cstheme="minorHAnsi"/>
                <w:b/>
                <w:color w:val="FFFFFF" w:themeColor="background1"/>
                <w:sz w:val="20"/>
                <w:szCs w:val="20"/>
              </w:rPr>
              <w:t>a</w:t>
            </w:r>
            <w:r w:rsidR="00761D32">
              <w:rPr>
                <w:rFonts w:cstheme="minorHAnsi"/>
                <w:b/>
                <w:color w:val="FFFFFF" w:themeColor="background1"/>
                <w:sz w:val="20"/>
                <w:szCs w:val="20"/>
              </w:rPr>
              <w:t>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F95B9B" w:rsidRDefault="002F0E99" w:rsidP="003811AD">
            <w:pPr>
              <w:jc w:val="center"/>
              <w:rPr>
                <w:rFonts w:cstheme="minorHAnsi"/>
                <w:color w:val="FF0000"/>
                <w:sz w:val="20"/>
                <w:szCs w:val="20"/>
              </w:rPr>
            </w:pPr>
            <w:r w:rsidRPr="00FF4844">
              <w:rPr>
                <w:rFonts w:cstheme="minorHAnsi"/>
                <w:sz w:val="20"/>
                <w:szCs w:val="20"/>
              </w:rPr>
              <w:t>The state we’re in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381441" w:rsidRDefault="00761D32" w:rsidP="009B5270">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381441" w:rsidRDefault="00F06EB1" w:rsidP="00BD6C41">
            <w:pPr>
              <w:jc w:val="center"/>
              <w:rPr>
                <w:rFonts w:cstheme="minorHAnsi"/>
                <w:sz w:val="20"/>
                <w:szCs w:val="20"/>
              </w:rPr>
            </w:pPr>
            <w:r w:rsidRPr="00381441">
              <w:rPr>
                <w:rFonts w:cstheme="minorHAnsi"/>
                <w:sz w:val="20"/>
                <w:szCs w:val="20"/>
              </w:rPr>
              <w:t>Faster melting</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F95B9B" w:rsidRDefault="00761D32" w:rsidP="009B5270">
            <w:pPr>
              <w:jc w:val="center"/>
              <w:rPr>
                <w:rFonts w:cstheme="minorHAnsi"/>
                <w:sz w:val="20"/>
                <w:szCs w:val="20"/>
              </w:rPr>
            </w:pP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p>
        </w:tc>
        <w:tc>
          <w:tcPr>
            <w:tcW w:w="4407" w:type="dxa"/>
            <w:vAlign w:val="center"/>
          </w:tcPr>
          <w:p w:rsidR="00761D32" w:rsidRDefault="00761D32" w:rsidP="009B5270">
            <w:pPr>
              <w:rPr>
                <w:sz w:val="20"/>
              </w:rPr>
            </w:pP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F25D2F" w:rsidRPr="00D2452D" w:rsidTr="00BC75F7">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25D2F" w:rsidRPr="00C1226E" w:rsidRDefault="000345C4" w:rsidP="00C1226E">
            <w:pPr>
              <w:jc w:val="center"/>
              <w:rPr>
                <w:b/>
                <w:sz w:val="17"/>
                <w:szCs w:val="17"/>
              </w:rPr>
            </w:pPr>
            <w:r>
              <w:rPr>
                <w:rFonts w:cstheme="minorHAnsi"/>
                <w:b/>
                <w:sz w:val="16"/>
                <w:szCs w:val="17"/>
              </w:rPr>
              <w:lastRenderedPageBreak/>
              <w:t>A p</w:t>
            </w:r>
            <w:r w:rsidR="00F25D2F" w:rsidRPr="00C1226E">
              <w:rPr>
                <w:rFonts w:cstheme="minorHAnsi"/>
                <w:b/>
                <w:sz w:val="16"/>
                <w:szCs w:val="17"/>
              </w:rPr>
              <w:t>article model for the S, L &amp; G states</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25D2F" w:rsidRPr="00C1226E" w:rsidRDefault="00C1226E" w:rsidP="00F25D2F">
            <w:pPr>
              <w:jc w:val="center"/>
              <w:rPr>
                <w:rFonts w:cstheme="minorHAnsi"/>
                <w:b/>
              </w:rPr>
            </w:pPr>
            <w:r w:rsidRPr="00C1226E">
              <w:rPr>
                <w:rFonts w:cstheme="minorHAnsi"/>
                <w:b/>
              </w:rPr>
              <w:t>Cheese on toast</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25D2F" w:rsidRPr="00C1226E" w:rsidRDefault="00C1226E" w:rsidP="00F25D2F">
            <w:pPr>
              <w:jc w:val="center"/>
              <w:rPr>
                <w:rFonts w:cstheme="minorHAnsi"/>
                <w:b/>
              </w:rPr>
            </w:pPr>
            <w:r>
              <w:rPr>
                <w:rFonts w:cstheme="minorHAnsi"/>
                <w:b/>
              </w:rPr>
              <w:t>Boiling water</w:t>
            </w:r>
          </w:p>
        </w:tc>
        <w:tc>
          <w:tcPr>
            <w:tcW w:w="2790" w:type="dxa"/>
            <w:tcBorders>
              <w:left w:val="single" w:sz="4" w:space="0" w:color="auto"/>
              <w:bottom w:val="nil"/>
            </w:tcBorders>
            <w:shd w:val="clear" w:color="auto" w:fill="E5DFEC" w:themeFill="accent4" w:themeFillTint="33"/>
            <w:vAlign w:val="center"/>
          </w:tcPr>
          <w:p w:rsidR="00F25D2F" w:rsidRPr="00C1226E" w:rsidRDefault="00C1226E" w:rsidP="00F25D2F">
            <w:pPr>
              <w:jc w:val="center"/>
              <w:rPr>
                <w:rFonts w:cstheme="minorHAnsi"/>
                <w:b/>
              </w:rPr>
            </w:pPr>
            <w:r>
              <w:rPr>
                <w:rFonts w:cstheme="minorHAnsi"/>
                <w:b/>
              </w:rPr>
              <w:t>The state of water</w:t>
            </w:r>
          </w:p>
        </w:tc>
        <w:tc>
          <w:tcPr>
            <w:tcW w:w="2790" w:type="dxa"/>
            <w:tcBorders>
              <w:bottom w:val="nil"/>
            </w:tcBorders>
            <w:shd w:val="clear" w:color="auto" w:fill="E5DFEC" w:themeFill="accent4" w:themeFillTint="33"/>
            <w:vAlign w:val="center"/>
          </w:tcPr>
          <w:p w:rsidR="00F25D2F" w:rsidRPr="00C1226E" w:rsidRDefault="005C754D" w:rsidP="00F25D2F">
            <w:pPr>
              <w:jc w:val="center"/>
              <w:rPr>
                <w:rFonts w:cstheme="minorHAnsi"/>
                <w:b/>
              </w:rPr>
            </w:pPr>
            <w:r>
              <w:rPr>
                <w:rFonts w:cstheme="minorHAnsi"/>
                <w:b/>
              </w:rPr>
              <w:t>Hidden energy</w:t>
            </w:r>
          </w:p>
        </w:tc>
      </w:tr>
      <w:tr w:rsidR="00F25D2F" w:rsidTr="00F25D2F">
        <w:trPr>
          <w:trHeight w:hRule="exact" w:val="3515"/>
        </w:trPr>
        <w:tc>
          <w:tcPr>
            <w:tcW w:w="2789" w:type="dxa"/>
            <w:tcBorders>
              <w:top w:val="nil"/>
              <w:bottom w:val="nil"/>
            </w:tcBorders>
            <w:vAlign w:val="center"/>
          </w:tcPr>
          <w:p w:rsidR="00F25D2F" w:rsidRDefault="004840DE" w:rsidP="00F25D2F">
            <w:pPr>
              <w:jc w:val="center"/>
            </w:pPr>
            <w:r>
              <w:rPr>
                <w:noProof/>
                <w:lang w:eastAsia="en-GB"/>
              </w:rPr>
              <w:drawing>
                <wp:anchor distT="0" distB="0" distL="114300" distR="114300" simplePos="0" relativeHeight="251718656" behindDoc="0" locked="0" layoutInCell="1" allowOverlap="1">
                  <wp:simplePos x="0" y="0"/>
                  <wp:positionH relativeFrom="column">
                    <wp:posOffset>40005</wp:posOffset>
                  </wp:positionH>
                  <wp:positionV relativeFrom="paragraph">
                    <wp:posOffset>12700</wp:posOffset>
                  </wp:positionV>
                  <wp:extent cx="1513840" cy="2159635"/>
                  <wp:effectExtent l="19050" t="19050" r="10160" b="1206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2DC40A8.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384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17632" behindDoc="0" locked="0" layoutInCell="1" allowOverlap="1">
                  <wp:simplePos x="0" y="0"/>
                  <wp:positionH relativeFrom="column">
                    <wp:posOffset>78105</wp:posOffset>
                  </wp:positionH>
                  <wp:positionV relativeFrom="paragraph">
                    <wp:posOffset>30480</wp:posOffset>
                  </wp:positionV>
                  <wp:extent cx="1525270" cy="2159635"/>
                  <wp:effectExtent l="19050" t="19050" r="17780" b="120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C0F234.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527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tcBorders>
            <w:vAlign w:val="center"/>
          </w:tcPr>
          <w:p w:rsidR="00F25D2F" w:rsidRDefault="00D84AC0" w:rsidP="00F25D2F">
            <w:pPr>
              <w:jc w:val="center"/>
              <w:rPr>
                <w:b/>
                <w:color w:val="5F497A" w:themeColor="accent4" w:themeShade="BF"/>
                <w:sz w:val="24"/>
              </w:rPr>
            </w:pPr>
            <w:r>
              <w:rPr>
                <w:b/>
                <w:noProof/>
                <w:color w:val="5F497A" w:themeColor="accent4" w:themeShade="BF"/>
                <w:sz w:val="24"/>
                <w:lang w:eastAsia="en-GB"/>
              </w:rPr>
              <w:drawing>
                <wp:inline distT="0" distB="0" distL="0" distR="0">
                  <wp:extent cx="1516978" cy="2160000"/>
                  <wp:effectExtent l="19050" t="19050" r="2667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9C3FB9.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6978"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25D2F" w:rsidRDefault="0097779E" w:rsidP="00F25D2F">
            <w:pPr>
              <w:jc w:val="center"/>
              <w:rPr>
                <w:b/>
                <w:color w:val="5F497A" w:themeColor="accent4" w:themeShade="BF"/>
                <w:sz w:val="24"/>
              </w:rPr>
            </w:pPr>
            <w:r>
              <w:rPr>
                <w:b/>
                <w:noProof/>
                <w:color w:val="5F497A" w:themeColor="accent4" w:themeShade="BF"/>
                <w:sz w:val="24"/>
                <w:lang w:eastAsia="en-GB"/>
              </w:rPr>
              <w:drawing>
                <wp:inline distT="0" distB="0" distL="0" distR="0">
                  <wp:extent cx="1523439" cy="2160000"/>
                  <wp:effectExtent l="19050" t="19050" r="19685"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9C7162.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343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25D2F" w:rsidRDefault="000719AC" w:rsidP="00F25D2F">
            <w:pPr>
              <w:jc w:val="center"/>
              <w:rPr>
                <w:b/>
                <w:color w:val="5F497A" w:themeColor="accent4" w:themeShade="BF"/>
                <w:sz w:val="24"/>
              </w:rPr>
            </w:pPr>
            <w:r>
              <w:rPr>
                <w:b/>
                <w:noProof/>
                <w:color w:val="5F497A" w:themeColor="accent4" w:themeShade="BF"/>
                <w:sz w:val="24"/>
                <w:lang w:eastAsia="en-GB"/>
              </w:rPr>
              <w:drawing>
                <wp:inline distT="0" distB="0" distL="0" distR="0">
                  <wp:extent cx="1526550" cy="2160000"/>
                  <wp:effectExtent l="19050" t="19050" r="1651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9C837A.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6550"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25D2F" w:rsidRDefault="00532725" w:rsidP="00F25D2F">
            <w:pPr>
              <w:jc w:val="center"/>
              <w:rPr>
                <w:b/>
                <w:color w:val="5F497A" w:themeColor="accent4" w:themeShade="BF"/>
                <w:sz w:val="24"/>
              </w:rPr>
            </w:pPr>
            <w:r>
              <w:rPr>
                <w:b/>
                <w:noProof/>
                <w:color w:val="5F497A" w:themeColor="accent4" w:themeShade="BF"/>
                <w:sz w:val="24"/>
                <w:lang w:eastAsia="en-GB"/>
              </w:rPr>
              <w:drawing>
                <wp:inline distT="0" distB="0" distL="0" distR="0">
                  <wp:extent cx="1526311" cy="2160000"/>
                  <wp:effectExtent l="19050" t="19050" r="17145"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DC1C0A.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6311" cy="2160000"/>
                          </a:xfrm>
                          <a:prstGeom prst="rect">
                            <a:avLst/>
                          </a:prstGeom>
                          <a:ln w="6350">
                            <a:solidFill>
                              <a:schemeClr val="accent4">
                                <a:lumMod val="50000"/>
                              </a:schemeClr>
                            </a:solidFill>
                          </a:ln>
                        </pic:spPr>
                      </pic:pic>
                    </a:graphicData>
                  </a:graphic>
                </wp:inline>
              </w:drawing>
            </w:r>
          </w:p>
        </w:tc>
      </w:tr>
      <w:tr w:rsidR="00793235" w:rsidTr="009A68B9">
        <w:trPr>
          <w:trHeight w:hRule="exact" w:val="454"/>
        </w:trPr>
        <w:tc>
          <w:tcPr>
            <w:tcW w:w="2789" w:type="dxa"/>
            <w:tcBorders>
              <w:top w:val="nil"/>
              <w:bottom w:val="single" w:sz="4" w:space="0" w:color="auto"/>
            </w:tcBorders>
            <w:shd w:val="clear" w:color="auto" w:fill="E5DFEC" w:themeFill="accent4" w:themeFillTint="33"/>
            <w:vAlign w:val="center"/>
          </w:tcPr>
          <w:p w:rsidR="00793235" w:rsidRPr="00EA6AA1" w:rsidRDefault="00F25D2F" w:rsidP="009A68B9">
            <w:pPr>
              <w:spacing w:after="120" w:line="276" w:lineRule="auto"/>
              <w:jc w:val="center"/>
            </w:pPr>
            <w:r>
              <w:t>Simple multiple choice</w:t>
            </w:r>
          </w:p>
        </w:tc>
        <w:tc>
          <w:tcPr>
            <w:tcW w:w="2789" w:type="dxa"/>
            <w:tcBorders>
              <w:top w:val="nil"/>
              <w:bottom w:val="single" w:sz="4" w:space="0" w:color="auto"/>
            </w:tcBorders>
            <w:shd w:val="clear" w:color="auto" w:fill="E5DFEC" w:themeFill="accent4" w:themeFillTint="33"/>
            <w:vAlign w:val="center"/>
          </w:tcPr>
          <w:p w:rsidR="00793235" w:rsidRPr="00EA6AA1" w:rsidRDefault="00C1226E"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C1226E"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C1226E"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5C754D" w:rsidP="009A68B9">
            <w:pPr>
              <w:spacing w:after="120" w:line="276" w:lineRule="auto"/>
              <w:jc w:val="center"/>
            </w:pPr>
            <w:r>
              <w:t>Confidence grid</w:t>
            </w:r>
          </w:p>
        </w:tc>
      </w:tr>
      <w:tr w:rsidR="00793235" w:rsidRPr="00D2452D" w:rsidTr="00660A99">
        <w:trPr>
          <w:trHeight w:hRule="exact" w:val="340"/>
        </w:trPr>
        <w:tc>
          <w:tcPr>
            <w:tcW w:w="2789" w:type="dxa"/>
            <w:tcBorders>
              <w:bottom w:val="nil"/>
            </w:tcBorders>
            <w:shd w:val="clear" w:color="auto" w:fill="E5DFEC" w:themeFill="accent4" w:themeFillTint="33"/>
            <w:vAlign w:val="center"/>
          </w:tcPr>
          <w:p w:rsidR="00793235" w:rsidRPr="00AC1978" w:rsidRDefault="00016F9B" w:rsidP="009A68B9">
            <w:pPr>
              <w:spacing w:line="276" w:lineRule="auto"/>
              <w:jc w:val="center"/>
              <w:rPr>
                <w:b/>
              </w:rPr>
            </w:pPr>
            <w:r>
              <w:rPr>
                <w:b/>
              </w:rPr>
              <w:t>Boiling point</w:t>
            </w:r>
          </w:p>
        </w:tc>
        <w:tc>
          <w:tcPr>
            <w:tcW w:w="2789" w:type="dxa"/>
            <w:tcBorders>
              <w:bottom w:val="nil"/>
            </w:tcBorders>
            <w:shd w:val="clear" w:color="auto" w:fill="E5DFEC" w:themeFill="accent4" w:themeFillTint="33"/>
            <w:vAlign w:val="center"/>
          </w:tcPr>
          <w:p w:rsidR="00793235" w:rsidRPr="00AC1978" w:rsidRDefault="00CC4AD1" w:rsidP="009A68B9">
            <w:pPr>
              <w:jc w:val="center"/>
              <w:rPr>
                <w:rFonts w:cstheme="minorHAnsi"/>
                <w:b/>
              </w:rPr>
            </w:pPr>
            <w:r>
              <w:rPr>
                <w:rFonts w:cstheme="minorHAnsi"/>
                <w:b/>
              </w:rPr>
              <w:t>Melting point</w:t>
            </w:r>
          </w:p>
        </w:tc>
        <w:tc>
          <w:tcPr>
            <w:tcW w:w="2790" w:type="dxa"/>
            <w:tcBorders>
              <w:bottom w:val="nil"/>
            </w:tcBorders>
            <w:shd w:val="clear" w:color="auto" w:fill="E5DFEC" w:themeFill="accent4" w:themeFillTint="33"/>
            <w:vAlign w:val="center"/>
          </w:tcPr>
          <w:p w:rsidR="00793235" w:rsidRPr="00D2452D" w:rsidRDefault="0062410D" w:rsidP="009A68B9">
            <w:pPr>
              <w:jc w:val="center"/>
              <w:rPr>
                <w:rFonts w:cstheme="minorHAnsi"/>
                <w:b/>
              </w:rPr>
            </w:pPr>
            <w:r>
              <w:rPr>
                <w:rFonts w:cstheme="minorHAnsi"/>
                <w:b/>
              </w:rPr>
              <w:t>Freezing point</w:t>
            </w:r>
          </w:p>
        </w:tc>
        <w:tc>
          <w:tcPr>
            <w:tcW w:w="2790" w:type="dxa"/>
            <w:tcBorders>
              <w:bottom w:val="nil"/>
            </w:tcBorders>
            <w:shd w:val="clear" w:color="auto" w:fill="B2A1C7" w:themeFill="accent4" w:themeFillTint="99"/>
            <w:vAlign w:val="center"/>
          </w:tcPr>
          <w:p w:rsidR="00793235" w:rsidRPr="00D2452D" w:rsidRDefault="00E02BCA" w:rsidP="009A68B9">
            <w:pPr>
              <w:jc w:val="center"/>
              <w:rPr>
                <w:rFonts w:cstheme="minorHAnsi"/>
                <w:b/>
              </w:rPr>
            </w:pPr>
            <w:r>
              <w:rPr>
                <w:rFonts w:cstheme="minorHAnsi"/>
                <w:b/>
              </w:rPr>
              <w:t>The state we’re in</w:t>
            </w:r>
          </w:p>
        </w:tc>
        <w:tc>
          <w:tcPr>
            <w:tcW w:w="2790" w:type="dxa"/>
            <w:tcBorders>
              <w:left w:val="nil"/>
              <w:bottom w:val="nil"/>
              <w:right w:val="single" w:sz="4" w:space="0" w:color="auto"/>
            </w:tcBorders>
            <w:shd w:val="clear" w:color="auto" w:fill="B2A1C7" w:themeFill="accent4" w:themeFillTint="99"/>
            <w:vAlign w:val="center"/>
          </w:tcPr>
          <w:p w:rsidR="00793235" w:rsidRPr="00D2452D" w:rsidRDefault="00530F9A" w:rsidP="009A68B9">
            <w:pPr>
              <w:jc w:val="center"/>
              <w:rPr>
                <w:rFonts w:cstheme="minorHAnsi"/>
                <w:b/>
              </w:rPr>
            </w:pPr>
            <w:r>
              <w:rPr>
                <w:rFonts w:cstheme="minorHAnsi"/>
                <w:b/>
              </w:rPr>
              <w:t>Faster melting</w:t>
            </w:r>
          </w:p>
        </w:tc>
      </w:tr>
      <w:tr w:rsidR="00793235" w:rsidTr="009A68B9">
        <w:trPr>
          <w:trHeight w:hRule="exact" w:val="3515"/>
        </w:trPr>
        <w:tc>
          <w:tcPr>
            <w:tcW w:w="2789" w:type="dxa"/>
            <w:tcBorders>
              <w:top w:val="nil"/>
              <w:bottom w:val="nil"/>
            </w:tcBorders>
            <w:vAlign w:val="center"/>
          </w:tcPr>
          <w:p w:rsidR="00793235" w:rsidRPr="00FC1013" w:rsidRDefault="00A14B9C" w:rsidP="00FF4844">
            <w:pPr>
              <w:jc w:val="center"/>
            </w:pPr>
            <w:r>
              <w:rPr>
                <w:noProof/>
                <w:lang w:eastAsia="en-GB"/>
              </w:rPr>
              <w:drawing>
                <wp:inline distT="0" distB="0" distL="0" distR="0">
                  <wp:extent cx="1527507" cy="2160000"/>
                  <wp:effectExtent l="19050" t="19050" r="15875"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4A4433.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FC1013" w:rsidRDefault="00596049" w:rsidP="00FF4844">
            <w:pPr>
              <w:jc w:val="center"/>
            </w:pPr>
            <w:r>
              <w:rPr>
                <w:noProof/>
                <w:lang w:eastAsia="en-GB"/>
              </w:rPr>
              <w:drawing>
                <wp:inline distT="0" distB="0" distL="0" distR="0">
                  <wp:extent cx="1525353" cy="2160000"/>
                  <wp:effectExtent l="19050" t="19050" r="17780"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7C8E6.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FC1013" w:rsidRDefault="00082A5D" w:rsidP="00FF4844">
            <w:pPr>
              <w:jc w:val="center"/>
            </w:pPr>
            <w:r>
              <w:rPr>
                <w:noProof/>
                <w:lang w:eastAsia="en-GB"/>
              </w:rPr>
              <w:drawing>
                <wp:inline distT="0" distB="0" distL="0" distR="0">
                  <wp:extent cx="1520567" cy="2160000"/>
                  <wp:effectExtent l="19050" t="19050" r="22860"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E88C002.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056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FC1013" w:rsidRDefault="00FF4844" w:rsidP="00FF4844">
            <w:pPr>
              <w:jc w:val="center"/>
            </w:pPr>
            <w:r>
              <w:rPr>
                <w:noProof/>
                <w:lang w:eastAsia="en-GB"/>
              </w:rPr>
              <w:drawing>
                <wp:inline distT="0" distB="0" distL="0" distR="0">
                  <wp:extent cx="1528225" cy="2160000"/>
                  <wp:effectExtent l="19050" t="19050" r="1524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49C459E.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8225" cy="2160000"/>
                          </a:xfrm>
                          <a:prstGeom prst="rect">
                            <a:avLst/>
                          </a:prstGeom>
                          <a:ln w="6350">
                            <a:solidFill>
                              <a:schemeClr val="accent4">
                                <a:lumMod val="50000"/>
                              </a:schemeClr>
                            </a:solidFill>
                          </a:ln>
                        </pic:spPr>
                      </pic:pic>
                    </a:graphicData>
                  </a:graphic>
                </wp:inline>
              </w:drawing>
            </w:r>
          </w:p>
        </w:tc>
        <w:tc>
          <w:tcPr>
            <w:tcW w:w="2790" w:type="dxa"/>
            <w:tcBorders>
              <w:top w:val="nil"/>
              <w:left w:val="nil"/>
              <w:bottom w:val="nil"/>
              <w:right w:val="single" w:sz="4" w:space="0" w:color="auto"/>
            </w:tcBorders>
            <w:shd w:val="clear" w:color="auto" w:fill="auto"/>
            <w:vAlign w:val="center"/>
          </w:tcPr>
          <w:p w:rsidR="00793235" w:rsidRPr="00FC1013" w:rsidRDefault="002E1DD2" w:rsidP="00FF4844">
            <w:pPr>
              <w:jc w:val="center"/>
            </w:pPr>
            <w:r>
              <w:rPr>
                <w:noProof/>
                <w:lang w:eastAsia="en-GB"/>
              </w:rPr>
              <w:drawing>
                <wp:inline distT="0" distB="0" distL="0" distR="0">
                  <wp:extent cx="1522482" cy="2160000"/>
                  <wp:effectExtent l="19050" t="19050" r="20955"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88A407.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2482" cy="2160000"/>
                          </a:xfrm>
                          <a:prstGeom prst="rect">
                            <a:avLst/>
                          </a:prstGeom>
                          <a:ln w="6350">
                            <a:solidFill>
                              <a:schemeClr val="accent4">
                                <a:lumMod val="50000"/>
                              </a:schemeClr>
                            </a:solidFill>
                          </a:ln>
                        </pic:spPr>
                      </pic:pic>
                    </a:graphicData>
                  </a:graphic>
                </wp:inline>
              </w:drawing>
            </w:r>
          </w:p>
        </w:tc>
      </w:tr>
      <w:tr w:rsidR="00793235" w:rsidTr="00660A99">
        <w:trPr>
          <w:trHeight w:hRule="exact" w:val="454"/>
        </w:trPr>
        <w:tc>
          <w:tcPr>
            <w:tcW w:w="2789" w:type="dxa"/>
            <w:tcBorders>
              <w:top w:val="nil"/>
            </w:tcBorders>
            <w:shd w:val="clear" w:color="auto" w:fill="E5DFEC" w:themeFill="accent4" w:themeFillTint="33"/>
            <w:vAlign w:val="center"/>
          </w:tcPr>
          <w:p w:rsidR="00793235" w:rsidRPr="00FC1013" w:rsidRDefault="00016F9B" w:rsidP="009A68B9">
            <w:pPr>
              <w:spacing w:after="120" w:line="276" w:lineRule="auto"/>
              <w:jc w:val="center"/>
            </w:pPr>
            <w:r>
              <w:t>Two-tier multiple choice</w:t>
            </w:r>
          </w:p>
        </w:tc>
        <w:tc>
          <w:tcPr>
            <w:tcW w:w="2789" w:type="dxa"/>
            <w:tcBorders>
              <w:top w:val="nil"/>
            </w:tcBorders>
            <w:shd w:val="clear" w:color="auto" w:fill="E5DFEC" w:themeFill="accent4" w:themeFillTint="33"/>
            <w:vAlign w:val="center"/>
          </w:tcPr>
          <w:p w:rsidR="00793235" w:rsidRPr="00FC1013" w:rsidRDefault="00CC4AD1" w:rsidP="009A68B9">
            <w:pPr>
              <w:spacing w:after="120" w:line="276" w:lineRule="auto"/>
              <w:jc w:val="center"/>
            </w:pPr>
            <w:r>
              <w:t>Confidence grid</w:t>
            </w:r>
          </w:p>
        </w:tc>
        <w:tc>
          <w:tcPr>
            <w:tcW w:w="2790" w:type="dxa"/>
            <w:tcBorders>
              <w:top w:val="nil"/>
            </w:tcBorders>
            <w:shd w:val="clear" w:color="auto" w:fill="E5DFEC" w:themeFill="accent4" w:themeFillTint="33"/>
            <w:vAlign w:val="center"/>
          </w:tcPr>
          <w:p w:rsidR="00793235" w:rsidRPr="00FC1013" w:rsidRDefault="00622510" w:rsidP="009A68B9">
            <w:pPr>
              <w:spacing w:after="120" w:line="276" w:lineRule="auto"/>
              <w:jc w:val="center"/>
            </w:pPr>
            <w:r>
              <w:t>Simple multiple choice</w:t>
            </w:r>
          </w:p>
        </w:tc>
        <w:tc>
          <w:tcPr>
            <w:tcW w:w="2790" w:type="dxa"/>
            <w:tcBorders>
              <w:top w:val="nil"/>
            </w:tcBorders>
            <w:shd w:val="clear" w:color="auto" w:fill="B2A1C7" w:themeFill="accent4" w:themeFillTint="99"/>
            <w:vAlign w:val="center"/>
          </w:tcPr>
          <w:p w:rsidR="00793235" w:rsidRPr="00FC1013" w:rsidRDefault="00E02BCA" w:rsidP="009A68B9">
            <w:pPr>
              <w:spacing w:after="120" w:line="276" w:lineRule="auto"/>
              <w:jc w:val="center"/>
            </w:pPr>
            <w:r>
              <w:t>Critiquing a representation</w:t>
            </w:r>
          </w:p>
        </w:tc>
        <w:tc>
          <w:tcPr>
            <w:tcW w:w="2790" w:type="dxa"/>
            <w:tcBorders>
              <w:top w:val="nil"/>
              <w:left w:val="nil"/>
              <w:bottom w:val="single" w:sz="4" w:space="0" w:color="auto"/>
              <w:right w:val="single" w:sz="4" w:space="0" w:color="auto"/>
            </w:tcBorders>
            <w:shd w:val="clear" w:color="auto" w:fill="B2A1C7" w:themeFill="accent4" w:themeFillTint="99"/>
            <w:vAlign w:val="center"/>
          </w:tcPr>
          <w:p w:rsidR="00793235" w:rsidRDefault="00530F9A" w:rsidP="00530F9A">
            <w:pPr>
              <w:jc w:val="center"/>
              <w:rPr>
                <w:sz w:val="18"/>
              </w:rPr>
            </w:pPr>
            <w:r>
              <w:rPr>
                <w:sz w:val="18"/>
              </w:rPr>
              <w:t>Predict, explain; observe, explain</w:t>
            </w:r>
          </w:p>
          <w:p w:rsidR="00530F9A" w:rsidRPr="00530F9A" w:rsidRDefault="00530F9A" w:rsidP="00530F9A">
            <w:pPr>
              <w:jc w:val="center"/>
              <w:rPr>
                <w:sz w:val="18"/>
              </w:rPr>
            </w:pPr>
            <w:r>
              <w:rPr>
                <w:sz w:val="18"/>
              </w:rPr>
              <w:t>PEOE</w:t>
            </w: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DE5178" w:rsidRDefault="00DE5178" w:rsidP="00DE5178">
      <w:pPr>
        <w:autoSpaceDE w:val="0"/>
        <w:autoSpaceDN w:val="0"/>
        <w:adjustRightInd w:val="0"/>
        <w:spacing w:after="180"/>
        <w:rPr>
          <w:rFonts w:cstheme="minorHAnsi"/>
          <w:color w:val="000000"/>
        </w:rPr>
      </w:pPr>
      <w:r>
        <w:rPr>
          <w:rFonts w:cstheme="minorHAnsi"/>
          <w:color w:val="000000"/>
        </w:rPr>
        <w:t xml:space="preserve">Heating a system will change the energy stored within the system and raise its temperature or produce changes of state. </w:t>
      </w:r>
    </w:p>
    <w:p w:rsidR="00DE5178" w:rsidRDefault="00DE5178" w:rsidP="00DE5178">
      <w:pPr>
        <w:autoSpaceDE w:val="0"/>
        <w:autoSpaceDN w:val="0"/>
        <w:adjustRightInd w:val="0"/>
        <w:spacing w:after="180"/>
        <w:rPr>
          <w:rFonts w:cstheme="minorHAnsi"/>
          <w:color w:val="000000"/>
        </w:rPr>
      </w:pPr>
      <w:r>
        <w:rPr>
          <w:rFonts w:cstheme="minorHAnsi"/>
          <w:color w:val="000000"/>
        </w:rPr>
        <w:t xml:space="preserve">Specific latent heat of fusion is the amount of energy required to melt one kilogram of a material whilst it is at its melting point. Specific latent heat of vaporisation is the amount of energy required to vaporise one kilogram of a material whilst it is at its boiling point. </w:t>
      </w:r>
    </w:p>
    <w:p w:rsidR="00DE5178" w:rsidRDefault="00DE5178" w:rsidP="00DE5178">
      <w:pPr>
        <w:autoSpaceDE w:val="0"/>
        <w:autoSpaceDN w:val="0"/>
        <w:adjustRightInd w:val="0"/>
        <w:spacing w:after="180"/>
        <w:rPr>
          <w:rFonts w:cstheme="minorHAnsi"/>
          <w:color w:val="000000"/>
        </w:rPr>
      </w:pPr>
      <w:r>
        <w:rPr>
          <w:rFonts w:cstheme="minorHAnsi"/>
          <w:color w:val="000000"/>
        </w:rPr>
        <w:t>The amount of energy required to melt or vaporise a material is calculated by multiplying the specific latent heat of the material by its mass.</w:t>
      </w:r>
    </w:p>
    <w:p w:rsidR="00A314B6" w:rsidRPr="00862126" w:rsidRDefault="00A314B6" w:rsidP="00A314B6">
      <w:pPr>
        <w:spacing w:before="360" w:after="180"/>
        <w:rPr>
          <w:b/>
          <w:color w:val="5F497A"/>
          <w:sz w:val="24"/>
        </w:rPr>
      </w:pPr>
      <w:r w:rsidRPr="00862126">
        <w:rPr>
          <w:b/>
          <w:color w:val="5F497A"/>
          <w:sz w:val="24"/>
        </w:rPr>
        <w:t>Earlier development of understanding (BEST 11-14)</w:t>
      </w:r>
    </w:p>
    <w:p w:rsidR="00A314B6" w:rsidRPr="0000601B" w:rsidRDefault="00A314B6" w:rsidP="00A314B6">
      <w:pPr>
        <w:spacing w:after="180"/>
      </w:pPr>
      <w:r>
        <w:t xml:space="preserve">When applying their understanding to novel situations, students of all ages often revert to earlier misunderstandings. Before moving forward it is worthwhile using diagnostic questions to check that students do not have any persistent blocks on their learning. Time spent consolidating the scientific understanding of earlier concepts before moving forward can accelerate progression later. </w:t>
      </w:r>
    </w:p>
    <w:p w:rsidR="00A314B6" w:rsidRPr="0057687C" w:rsidRDefault="00A314B6" w:rsidP="00A314B6">
      <w:pPr>
        <w:spacing w:after="180"/>
      </w:pPr>
      <w:r w:rsidRPr="00862126">
        <w:rPr>
          <w:b/>
          <w:color w:val="5F497A"/>
        </w:rPr>
        <w:t xml:space="preserve">Key concept: </w:t>
      </w:r>
      <w:r w:rsidR="00DE5178" w:rsidRPr="0057687C">
        <w:t>CPS1.1</w:t>
      </w:r>
      <w:r w:rsidRPr="0057687C">
        <w:t xml:space="preserve"> </w:t>
      </w:r>
      <w:r w:rsidR="00DE5178" w:rsidRPr="0057687C">
        <w:t>Particle model for the solid, liquid and gas states</w:t>
      </w:r>
    </w:p>
    <w:p w:rsidR="00A314B6" w:rsidRDefault="00A314B6" w:rsidP="00FB1FF6">
      <w:pPr>
        <w:spacing w:after="180"/>
      </w:pPr>
      <w:r>
        <w:t xml:space="preserve">Learning focus: </w:t>
      </w:r>
      <w:r w:rsidR="00DE5178">
        <w:t>the particle model of matter can explain the properties of substances in the solid, liquid and gas states.</w:t>
      </w:r>
    </w:p>
    <w:p w:rsidR="008278DF" w:rsidRPr="007D2954" w:rsidRDefault="008278DF" w:rsidP="008278DF">
      <w:pPr>
        <w:spacing w:after="180"/>
      </w:pPr>
      <w:r w:rsidRPr="007D2954">
        <w:t>This key concept:</w:t>
      </w:r>
    </w:p>
    <w:p w:rsidR="008278DF" w:rsidRPr="007D2954" w:rsidRDefault="001C42A1" w:rsidP="00476114">
      <w:pPr>
        <w:pStyle w:val="ListParagraph"/>
        <w:numPr>
          <w:ilvl w:val="0"/>
          <w:numId w:val="6"/>
        </w:numPr>
        <w:spacing w:after="180"/>
      </w:pPr>
      <w:r w:rsidRPr="007D2954">
        <w:t>Introduces the partic</w:t>
      </w:r>
      <w:r w:rsidR="00110BA3">
        <w:t>le</w:t>
      </w:r>
      <w:r w:rsidRPr="007D2954">
        <w:t xml:space="preserve"> model of matter.</w:t>
      </w:r>
    </w:p>
    <w:p w:rsidR="001C42A1" w:rsidRPr="007D2954" w:rsidRDefault="007D2954" w:rsidP="00476114">
      <w:pPr>
        <w:pStyle w:val="ListParagraph"/>
        <w:numPr>
          <w:ilvl w:val="0"/>
          <w:numId w:val="6"/>
        </w:numPr>
        <w:spacing w:after="180"/>
      </w:pPr>
      <w:r w:rsidRPr="007D2954">
        <w:t>Develops an understanding of how the</w:t>
      </w:r>
      <w:r w:rsidR="001C42A1" w:rsidRPr="007D2954">
        <w:t xml:space="preserve"> particle model </w:t>
      </w:r>
      <w:r w:rsidRPr="007D2954">
        <w:t>can</w:t>
      </w:r>
      <w:r w:rsidR="001C42A1" w:rsidRPr="007D2954">
        <w:t xml:space="preserve"> explain the properties of a substance in the solid, liquid and gas states.</w:t>
      </w:r>
    </w:p>
    <w:p w:rsidR="008278DF" w:rsidRPr="007D2954" w:rsidRDefault="007D2954" w:rsidP="00417B97">
      <w:pPr>
        <w:pStyle w:val="ListParagraph"/>
        <w:numPr>
          <w:ilvl w:val="0"/>
          <w:numId w:val="6"/>
        </w:numPr>
        <w:spacing w:after="180"/>
      </w:pPr>
      <w:r w:rsidRPr="007D2954">
        <w:t>Uses the understanding of the arrangement and movement of particles to</w:t>
      </w:r>
      <w:r w:rsidR="00110BA3">
        <w:t xml:space="preserve"> explain</w:t>
      </w:r>
      <w:r w:rsidRPr="007D2954">
        <w:t xml:space="preserve"> changes of state.</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2F4EE7" w:rsidRDefault="002F4EE7" w:rsidP="002F4EE7">
      <w:pPr>
        <w:spacing w:after="180"/>
      </w:pPr>
      <w:r>
        <w:t>It is quite possible to introduce specific latent heat in terms of energy transfers without mentioning the partic</w:t>
      </w:r>
      <w:r w:rsidR="00E90446">
        <w:t>le</w:t>
      </w:r>
      <w:r>
        <w:t xml:space="preserve"> model of matter, but it can be helpful to students to make some links between the two sets of ideas </w:t>
      </w:r>
      <w:r w:rsidR="00445CE2">
        <w:fldChar w:fldCharType="begin"/>
      </w:r>
      <w:r w:rsidR="00445CE2">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rsidR="00445CE2">
        <w:fldChar w:fldCharType="separate"/>
      </w:r>
      <w:r w:rsidR="00445CE2">
        <w:rPr>
          <w:noProof/>
        </w:rPr>
        <w:t>(Millar, 2011)</w:t>
      </w:r>
      <w:r w:rsidR="00445CE2">
        <w:fldChar w:fldCharType="end"/>
      </w:r>
      <w:r>
        <w:t>. This is because the partic</w:t>
      </w:r>
      <w:r w:rsidR="00E90446">
        <w:t>le</w:t>
      </w:r>
      <w:r>
        <w:t xml:space="preserve"> model can be used to explain the </w:t>
      </w:r>
      <w:r w:rsidRPr="00B07801">
        <w:rPr>
          <w:i/>
        </w:rPr>
        <w:t>mechanism</w:t>
      </w:r>
      <w:r>
        <w:t xml:space="preserve"> of how energy is transferred during a change of state when there is no corresponding change of temperature.</w:t>
      </w:r>
    </w:p>
    <w:p w:rsidR="00605A57" w:rsidRDefault="002F4EE7" w:rsidP="00605A57">
      <w:pPr>
        <w:spacing w:after="180"/>
      </w:pPr>
      <w:r>
        <w:t xml:space="preserve">In a very large study of students in the United States, called Project 2061, the American Association for the Advancement of Science </w:t>
      </w:r>
      <w:r w:rsidR="00445CE2">
        <w:fldChar w:fldCharType="begin"/>
      </w:r>
      <w:r w:rsidR="00445CE2">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rsidR="00445CE2">
        <w:fldChar w:fldCharType="separate"/>
      </w:r>
      <w:r w:rsidR="00445CE2">
        <w:rPr>
          <w:noProof/>
        </w:rPr>
        <w:t>(AAAS)</w:t>
      </w:r>
      <w:r w:rsidR="00445CE2">
        <w:fldChar w:fldCharType="end"/>
      </w:r>
      <w:r w:rsidR="00445CE2">
        <w:t xml:space="preserve"> </w:t>
      </w:r>
      <w:r>
        <w:t>found that students age 14-18 held the following misunderstandings about particles during a change of state:</w:t>
      </w:r>
    </w:p>
    <w:p w:rsidR="002F4EE7" w:rsidRDefault="002F4EE7" w:rsidP="00605A57">
      <w:pPr>
        <w:pStyle w:val="ListParagraph"/>
        <w:numPr>
          <w:ilvl w:val="0"/>
          <w:numId w:val="8"/>
        </w:numPr>
        <w:spacing w:after="180"/>
      </w:pPr>
      <w:r>
        <w:t xml:space="preserve">The identity of the molecules of a substance changes during a phase change. </w:t>
      </w:r>
      <w:r w:rsidR="00F15D9D">
        <w:t>(</w:t>
      </w:r>
      <w:r>
        <w:t>14%</w:t>
      </w:r>
      <w:r w:rsidR="00F15D9D">
        <w:t xml:space="preserve"> held this misunderstanding)</w:t>
      </w:r>
    </w:p>
    <w:p w:rsidR="002F4EE7" w:rsidRDefault="002F4EE7" w:rsidP="002F4EE7">
      <w:pPr>
        <w:pStyle w:val="ListParagraph"/>
        <w:numPr>
          <w:ilvl w:val="0"/>
          <w:numId w:val="7"/>
        </w:numPr>
        <w:spacing w:after="180"/>
      </w:pPr>
      <w:r>
        <w:t xml:space="preserve">Molecules change weight/mass during a phase change. </w:t>
      </w:r>
      <w:r w:rsidR="00F15D9D">
        <w:t>(</w:t>
      </w:r>
      <w:r>
        <w:t>14%</w:t>
      </w:r>
      <w:r w:rsidR="00F15D9D">
        <w:t>)</w:t>
      </w:r>
    </w:p>
    <w:p w:rsidR="002F4EE7" w:rsidRDefault="002F4EE7" w:rsidP="002F4EE7">
      <w:pPr>
        <w:pStyle w:val="ListParagraph"/>
        <w:numPr>
          <w:ilvl w:val="0"/>
          <w:numId w:val="7"/>
        </w:numPr>
        <w:spacing w:after="180"/>
      </w:pPr>
      <w:r>
        <w:lastRenderedPageBreak/>
        <w:t>Molecules cha</w:t>
      </w:r>
      <w:r w:rsidR="00F15D9D">
        <w:t>nge size during a phase change. (</w:t>
      </w:r>
      <w:r>
        <w:t>9%</w:t>
      </w:r>
      <w:r w:rsidR="00F15D9D">
        <w:t>)</w:t>
      </w:r>
    </w:p>
    <w:p w:rsidR="002F4EE7" w:rsidRDefault="002F4EE7" w:rsidP="002F4EE7">
      <w:pPr>
        <w:pStyle w:val="ListParagraph"/>
        <w:numPr>
          <w:ilvl w:val="0"/>
          <w:numId w:val="7"/>
        </w:numPr>
        <w:spacing w:after="180"/>
      </w:pPr>
      <w:r>
        <w:t>Matt</w:t>
      </w:r>
      <w:r w:rsidR="00F15D9D">
        <w:t>er is destroyed during boiling. (</w:t>
      </w:r>
      <w:r>
        <w:t>7%</w:t>
      </w:r>
      <w:r w:rsidR="00F15D9D">
        <w:t>)</w:t>
      </w:r>
    </w:p>
    <w:p w:rsidR="002F4EE7" w:rsidRDefault="002F4EE7" w:rsidP="002F4EE7">
      <w:pPr>
        <w:pStyle w:val="ListParagraph"/>
        <w:numPr>
          <w:ilvl w:val="0"/>
          <w:numId w:val="7"/>
        </w:numPr>
        <w:spacing w:after="180"/>
      </w:pPr>
      <w:r>
        <w:t>Matt</w:t>
      </w:r>
      <w:r w:rsidR="00F15D9D">
        <w:t>er is destroyed during melting. (</w:t>
      </w:r>
      <w:r>
        <w:t>10%</w:t>
      </w:r>
      <w:r w:rsidR="00F15D9D">
        <w:t>)</w:t>
      </w:r>
    </w:p>
    <w:p w:rsidR="002F4EE7" w:rsidRDefault="002F4EE7" w:rsidP="002F4EE7">
      <w:pPr>
        <w:pStyle w:val="ListParagraph"/>
        <w:numPr>
          <w:ilvl w:val="0"/>
          <w:numId w:val="7"/>
        </w:numPr>
        <w:spacing w:after="180"/>
      </w:pPr>
      <w:r>
        <w:t>The molecules of a substance break down into individual atoms when the substance boils. For example, molecules of water become atoms of hydro</w:t>
      </w:r>
      <w:r w:rsidR="00F15D9D">
        <w:t>gen and oxygen when water boil</w:t>
      </w:r>
      <w:r w:rsidR="00E90446">
        <w:t>s</w:t>
      </w:r>
      <w:r w:rsidR="00F15D9D">
        <w:t>. (</w:t>
      </w:r>
      <w:r>
        <w:t>34%</w:t>
      </w:r>
      <w:r w:rsidR="00F15D9D">
        <w:t>)</w:t>
      </w:r>
    </w:p>
    <w:p w:rsidR="002F4EE7" w:rsidRDefault="002F4EE7" w:rsidP="002F4EE7">
      <w:pPr>
        <w:spacing w:after="180"/>
      </w:pPr>
      <w:r>
        <w:t>In order to understand the mechanisms that explain specific latent heat, students need a clear understanding of the motion and arrangement of the particles of a substance in each of its solid, liquid and gas st</w:t>
      </w:r>
      <w:r w:rsidR="0016334B">
        <w:t xml:space="preserve">ates and to understand that </w:t>
      </w:r>
      <w:r>
        <w:t>particles in each state are otherwise identical.</w:t>
      </w:r>
      <w:r w:rsidR="00605A57">
        <w:t xml:space="preserve"> The BEST </w:t>
      </w:r>
      <w:r w:rsidR="00B07801">
        <w:t xml:space="preserve">chemistry </w:t>
      </w:r>
      <w:r w:rsidR="00605A57">
        <w:t xml:space="preserve">key concept </w:t>
      </w:r>
      <w:r w:rsidR="00605A57" w:rsidRPr="00605A57">
        <w:t xml:space="preserve">CPS1.1 </w:t>
      </w:r>
      <w:r w:rsidR="00605A57" w:rsidRPr="00605A57">
        <w:rPr>
          <w:i/>
        </w:rPr>
        <w:t>Particle model for the solid, liquid and gas states</w:t>
      </w:r>
      <w:r w:rsidR="00605A57">
        <w:t xml:space="preserve"> can be used to </w:t>
      </w:r>
      <w:r w:rsidR="00B07801">
        <w:t xml:space="preserve">review and develop </w:t>
      </w:r>
      <w:r w:rsidR="00605A57">
        <w:t>students’ understanding of these ideas.</w:t>
      </w:r>
    </w:p>
    <w:p w:rsidR="002F4EE7" w:rsidRDefault="002F4EE7" w:rsidP="002F4EE7">
      <w:pPr>
        <w:spacing w:after="180"/>
      </w:pPr>
      <w:r>
        <w:t xml:space="preserve">Heating a substance without a change of state increases the motion of particles and the temperature of the substance. When melting or vaporising a substance, its particles are moved apart against their electrostatic attraction, a very small amount for melting and rather more for vaporisation (Millar, 2011). As particles move apart against </w:t>
      </w:r>
      <w:r w:rsidR="00AF7B54">
        <w:t>the</w:t>
      </w:r>
      <w:r>
        <w:t xml:space="preserve"> attractive force </w:t>
      </w:r>
      <w:r w:rsidR="00AF7B54">
        <w:t xml:space="preserve">that holds them together, </w:t>
      </w:r>
      <w:r>
        <w:t xml:space="preserve">their movement slows and prevents the temperature of the substance from rising until the change of state is complete. </w:t>
      </w:r>
    </w:p>
    <w:p w:rsidR="002F4EE7" w:rsidRDefault="002F4EE7" w:rsidP="002F4EE7">
      <w:pPr>
        <w:spacing w:after="180"/>
      </w:pPr>
      <w:r>
        <w:t xml:space="preserve">In a large study </w:t>
      </w:r>
      <w:r w:rsidR="00261703">
        <w:t xml:space="preserve">of Turkish students (n=656), </w:t>
      </w:r>
      <w:proofErr w:type="spellStart"/>
      <w:r>
        <w:t>Adadan</w:t>
      </w:r>
      <w:proofErr w:type="spellEnd"/>
      <w:r>
        <w:t xml:space="preserve"> and </w:t>
      </w:r>
      <w:proofErr w:type="spellStart"/>
      <w:r>
        <w:t>Yavuzkaya</w:t>
      </w:r>
      <w:proofErr w:type="spellEnd"/>
      <w:r>
        <w:t xml:space="preserve"> </w:t>
      </w:r>
      <w:r w:rsidR="00445CE2">
        <w:fldChar w:fldCharType="begin"/>
      </w:r>
      <w:r w:rsidR="00445CE2">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format="utc"&gt;1594984690&lt;/last-updated-date&gt;&lt;volume&gt;40 (4)&lt;/volume&gt;&lt;/record&gt;&lt;/Cite&gt;&lt;/EndNote&gt;</w:instrText>
      </w:r>
      <w:r w:rsidR="00445CE2">
        <w:fldChar w:fldCharType="separate"/>
      </w:r>
      <w:r w:rsidR="00445CE2">
        <w:rPr>
          <w:noProof/>
        </w:rPr>
        <w:t>(2018)</w:t>
      </w:r>
      <w:r w:rsidR="00445CE2">
        <w:fldChar w:fldCharType="end"/>
      </w:r>
      <w:r>
        <w:t xml:space="preserve"> found that 20% of </w:t>
      </w:r>
      <w:r w:rsidR="00261703">
        <w:t>those</w:t>
      </w:r>
      <w:r>
        <w:t xml:space="preserve"> age 13-16 th</w:t>
      </w:r>
      <w:r w:rsidR="00261703">
        <w:t>ought</w:t>
      </w:r>
      <w:r>
        <w:t xml:space="preserve"> that heating always increases the temperature of a substance, even as it is boiling. </w:t>
      </w:r>
      <w:r w:rsidR="00261703">
        <w:t xml:space="preserve">This misunderstanding can be challenged effectively by </w:t>
      </w:r>
      <w:r w:rsidR="006C317E">
        <w:t>direct measurement if students complete</w:t>
      </w:r>
      <w:r>
        <w:t xml:space="preserve"> practical work to measure temperatures of a substance over the time that it changes state</w:t>
      </w:r>
      <w:r w:rsidR="00261703">
        <w:t xml:space="preserve"> </w:t>
      </w:r>
      <w:r w:rsidR="00445CE2">
        <w:fldChar w:fldCharType="begin"/>
      </w:r>
      <w:r w:rsidR="00445CE2">
        <w:instrText xml:space="preserve"> ADDIN EN.CITE &lt;EndNote&gt;&lt;Cite&gt;&lt;Author&gt;Adadan&lt;/Author&gt;&lt;Year&gt;2018&lt;/Year&gt;&lt;IDText&gt;Examining the progression and consistency of thermal concepts: a cross age study&lt;/IDText&gt;&lt;DisplayText&gt;(Adadan and Yavuzkaya, 2018; Bauer and Chan, 2019)&lt;/DisplayText&gt;&lt;record&gt;&lt;titles&gt;&lt;title&gt;Examining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format="utc"&gt;1594984690&lt;/last-updated-date&gt;&lt;volume&gt;40 (4)&lt;/volume&gt;&lt;/record&gt;&lt;/Cite&gt;&lt;Cite&gt;&lt;Author&gt;Bauer&lt;/Author&gt;&lt;Year&gt;2019&lt;/Year&gt;&lt;IDText&gt;Non-science majors learn about heat, temperature, and thermodynamics using the particulate nature of matter and guided-inquiry instruction&lt;/IDText&gt;&lt;record&gt;&lt;titles&gt;&lt;title&gt;Non-science majors learn about heat, temperature, and thermodynamics using the particulate nature of matter and guided-inquiry instruction&lt;/title&gt;&lt;secondary-title&gt;American Journal of Physics&lt;/secondary-title&gt;&lt;/titles&gt;&lt;pages&gt;550-557&lt;/pages&gt;&lt;contributors&gt;&lt;authors&gt;&lt;author&gt;Bauer, C. F&lt;/author&gt;&lt;author&gt;Chan, J. Y. K&lt;/author&gt;&lt;/authors&gt;&lt;/contributors&gt;&lt;added-date format="utc"&gt;1595863317&lt;/added-date&gt;&lt;ref-type name="Journal Article"&gt;17&lt;/ref-type&gt;&lt;dates&gt;&lt;year&gt;2019&lt;/year&gt;&lt;/dates&gt;&lt;rec-number&gt;294&lt;/rec-number&gt;&lt;last-updated-date format="utc"&gt;1595863415&lt;/last-updated-date&gt;&lt;volume&gt;87&lt;/volume&gt;&lt;/record&gt;&lt;/Cite&gt;&lt;/EndNote&gt;</w:instrText>
      </w:r>
      <w:r w:rsidR="00445CE2">
        <w:fldChar w:fldCharType="separate"/>
      </w:r>
      <w:r w:rsidR="00445CE2">
        <w:rPr>
          <w:noProof/>
        </w:rPr>
        <w:t>(Adadan and Yavuzkaya, 2018; Bauer and Chan, 2019)</w:t>
      </w:r>
      <w:r w:rsidR="00445CE2">
        <w:fldChar w:fldCharType="end"/>
      </w:r>
      <w:r>
        <w:t xml:space="preserve">. </w:t>
      </w:r>
      <w:r w:rsidR="006C317E">
        <w:t>T</w:t>
      </w:r>
      <w:r w:rsidR="00261703">
        <w:t xml:space="preserve">emperature can be observed clearly </w:t>
      </w:r>
      <w:r w:rsidR="006C317E">
        <w:t xml:space="preserve">to reach a constant value </w:t>
      </w:r>
      <w:r w:rsidR="00261703">
        <w:t>as water boils</w:t>
      </w:r>
      <w:r w:rsidR="006C317E">
        <w:t xml:space="preserve">. A </w:t>
      </w:r>
      <w:r w:rsidR="00572BF4">
        <w:t>heating curve</w:t>
      </w:r>
      <w:r>
        <w:t xml:space="preserve"> </w:t>
      </w:r>
      <w:r w:rsidR="006C317E">
        <w:t xml:space="preserve">that shows a similar plateau when a substance melts </w:t>
      </w:r>
      <w:r>
        <w:t xml:space="preserve">can be </w:t>
      </w:r>
      <w:r w:rsidR="00572BF4">
        <w:t xml:space="preserve">produced </w:t>
      </w:r>
      <w:r>
        <w:t xml:space="preserve">by heating salol in a boiling tube in a water bath. A heating curve is easier to explain than </w:t>
      </w:r>
      <w:r w:rsidR="006C317E">
        <w:t>a</w:t>
      </w:r>
      <w:r>
        <w:t xml:space="preserve"> cooling curve and easier for most students to understand</w:t>
      </w:r>
      <w:r w:rsidR="000B4EA3">
        <w:t xml:space="preserve"> </w:t>
      </w:r>
      <w:r w:rsidR="000B4EA3">
        <w:fldChar w:fldCharType="begin"/>
      </w:r>
      <w:r w:rsidR="000B4EA3">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rsidR="000B4EA3">
        <w:fldChar w:fldCharType="separate"/>
      </w:r>
      <w:r w:rsidR="000B4EA3">
        <w:rPr>
          <w:noProof/>
        </w:rPr>
        <w:t>(Millar, 2011)</w:t>
      </w:r>
      <w:r w:rsidR="000B4EA3">
        <w:fldChar w:fldCharType="end"/>
      </w:r>
      <w:r>
        <w:t>.</w:t>
      </w:r>
    </w:p>
    <w:p w:rsidR="00CD60B8" w:rsidRDefault="00CD60B8" w:rsidP="002F4EE7">
      <w:pPr>
        <w:spacing w:after="180"/>
      </w:pPr>
      <w:proofErr w:type="spellStart"/>
      <w:r>
        <w:t>Adadan</w:t>
      </w:r>
      <w:proofErr w:type="spellEnd"/>
      <w:r>
        <w:t xml:space="preserve"> and </w:t>
      </w:r>
      <w:proofErr w:type="spellStart"/>
      <w:r>
        <w:t>Yavuzkaya</w:t>
      </w:r>
      <w:proofErr w:type="spellEnd"/>
      <w:r>
        <w:t xml:space="preserve"> </w:t>
      </w:r>
      <w:r>
        <w:fldChar w:fldCharType="begin"/>
      </w:r>
      <w:r>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format="utc"&gt;1594984690&lt;/last-updated-date&gt;&lt;volume&gt;40 (4)&lt;/volume&gt;&lt;/record&gt;&lt;/Cite&gt;&lt;/EndNote&gt;</w:instrText>
      </w:r>
      <w:r>
        <w:fldChar w:fldCharType="separate"/>
      </w:r>
      <w:r>
        <w:rPr>
          <w:noProof/>
        </w:rPr>
        <w:t>(2018)</w:t>
      </w:r>
      <w:r>
        <w:fldChar w:fldCharType="end"/>
      </w:r>
      <w:r>
        <w:t xml:space="preserve"> found that 29% of 15- to 16-year-olds in their study thought that ice was always 0</w:t>
      </w:r>
      <w:r w:rsidRPr="00CD60B8">
        <w:rPr>
          <w:vertAlign w:val="superscript"/>
        </w:rPr>
        <w:t>o</w:t>
      </w:r>
      <w:r>
        <w:t>C, and 32% that water cannot be 0</w:t>
      </w:r>
      <w:r w:rsidRPr="00CD60B8">
        <w:rPr>
          <w:vertAlign w:val="superscript"/>
        </w:rPr>
        <w:t>o</w:t>
      </w:r>
      <w:r>
        <w:t xml:space="preserve">C. </w:t>
      </w:r>
      <w:r w:rsidRPr="004005B1">
        <w:rPr>
          <w:rFonts w:cstheme="minorHAnsi"/>
        </w:rPr>
        <w:t xml:space="preserve">These students appear to be relying on </w:t>
      </w:r>
      <w:r>
        <w:rPr>
          <w:rFonts w:cstheme="minorHAnsi"/>
        </w:rPr>
        <w:t xml:space="preserve">recall of </w:t>
      </w:r>
      <w:r w:rsidRPr="004005B1">
        <w:rPr>
          <w:rFonts w:cstheme="minorHAnsi"/>
        </w:rPr>
        <w:t xml:space="preserve">factual knowledge rather than </w:t>
      </w:r>
      <w:r w:rsidR="005438B1">
        <w:rPr>
          <w:rFonts w:cstheme="minorHAnsi"/>
        </w:rPr>
        <w:t xml:space="preserve">on </w:t>
      </w:r>
      <w:r w:rsidRPr="004005B1">
        <w:rPr>
          <w:rFonts w:cstheme="minorHAnsi"/>
        </w:rPr>
        <w:t>clear understanding.</w:t>
      </w:r>
      <w:r w:rsidR="00390D0C">
        <w:rPr>
          <w:rFonts w:cstheme="minorHAnsi"/>
        </w:rPr>
        <w:t xml:space="preserve"> </w:t>
      </w:r>
      <w:r w:rsidR="00390D0C" w:rsidRPr="004005B1">
        <w:rPr>
          <w:rFonts w:cstheme="minorHAnsi"/>
          <w:color w:val="000000"/>
          <w:szCs w:val="21"/>
        </w:rPr>
        <w:t>In other studies, students believed that the temperature of ice cubes existing in a warm room must be above 0°C, and</w:t>
      </w:r>
      <w:r w:rsidR="00D614B5">
        <w:rPr>
          <w:rFonts w:cstheme="minorHAnsi"/>
          <w:color w:val="000000"/>
          <w:szCs w:val="21"/>
        </w:rPr>
        <w:t xml:space="preserve"> that water cannot exist at 0°C</w:t>
      </w:r>
      <w:r w:rsidR="00390D0C" w:rsidRPr="004005B1">
        <w:rPr>
          <w:rFonts w:cstheme="minorHAnsi"/>
          <w:color w:val="000000"/>
          <w:szCs w:val="21"/>
        </w:rPr>
        <w:t xml:space="preserve"> even if ice cubes remain in a puddle of water</w:t>
      </w:r>
      <w:r w:rsidR="00390D0C">
        <w:rPr>
          <w:rFonts w:cstheme="minorHAnsi"/>
          <w:color w:val="000000"/>
          <w:szCs w:val="21"/>
        </w:rPr>
        <w:t xml:space="preserve"> </w:t>
      </w:r>
      <w:r w:rsidR="00390D0C">
        <w:rPr>
          <w:rFonts w:cstheme="minorHAnsi"/>
          <w:color w:val="000000"/>
          <w:szCs w:val="21"/>
        </w:rPr>
        <w:fldChar w:fldCharType="begin"/>
      </w:r>
      <w:r w:rsidR="00390D0C">
        <w:rPr>
          <w:rFonts w:cstheme="minorHAnsi"/>
          <w:color w:val="000000"/>
          <w:szCs w:val="21"/>
        </w:rPr>
        <w:instrText xml:space="preserve"> ADDIN EN.CITE &lt;EndNote&gt;&lt;Cite&gt;&lt;Author&gt;Chu&lt;/Author&gt;&lt;Year&gt;2012&lt;/Year&gt;&lt;IDText&gt;Evaluation of Students&amp;apos; Understanding of Thermal Concepts in Everyday Contexts&lt;/IDText&gt;&lt;DisplayText&gt;(Chu et al., 2012; Kacovsky, 2015)&lt;/DisplayText&gt;&lt;record&gt;&lt;titles&gt;&lt;title&gt;Evaluation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format="utc"&gt;1544088985&lt;/last-updated-date&gt;&lt;volume&gt;34:10&lt;/volume&gt;&lt;/record&gt;&lt;/Cite&gt;&lt;Cite&gt;&lt;Author&gt;Kacovsky&lt;/Author&gt;&lt;Year&gt;2015&lt;/Year&gt;&lt;IDText&gt;Grammar school students&amp;apos; misconceptions concerning thermal phenmomena&lt;/IDText&gt;&lt;record&gt;&lt;titles&gt;&lt;title&gt;Grammar school students&amp;apos; misconceptions concerning thermal phenmomena&lt;/title&gt;&lt;secondary-title&gt;Journal of Baltic Science Education&lt;/secondary-title&gt;&lt;/titles&gt;&lt;pages&gt;194-206&lt;/pages&gt;&lt;contributors&gt;&lt;authors&gt;&lt;author&gt;Kacovsky, P&lt;/author&gt;&lt;/authors&gt;&lt;/contributors&gt;&lt;added-date format="utc"&gt;1596634750&lt;/added-date&gt;&lt;ref-type name="Journal Article"&gt;17&lt;/ref-type&gt;&lt;dates&gt;&lt;year&gt;2015&lt;/year&gt;&lt;/dates&gt;&lt;rec-number&gt;295&lt;/rec-number&gt;&lt;last-updated-date format="utc"&gt;1596635003&lt;/last-updated-date&gt;&lt;volume&gt;14(2)&lt;/volume&gt;&lt;/record&gt;&lt;/Cite&gt;&lt;/EndNote&gt;</w:instrText>
      </w:r>
      <w:r w:rsidR="00390D0C">
        <w:rPr>
          <w:rFonts w:cstheme="minorHAnsi"/>
          <w:color w:val="000000"/>
          <w:szCs w:val="21"/>
        </w:rPr>
        <w:fldChar w:fldCharType="separate"/>
      </w:r>
      <w:r w:rsidR="00390D0C">
        <w:rPr>
          <w:rFonts w:cstheme="minorHAnsi"/>
          <w:noProof/>
          <w:color w:val="000000"/>
          <w:szCs w:val="21"/>
        </w:rPr>
        <w:t>(Chu et al., 2012; Kacovsky, 2015)</w:t>
      </w:r>
      <w:r w:rsidR="00390D0C">
        <w:rPr>
          <w:rFonts w:cstheme="minorHAnsi"/>
          <w:color w:val="000000"/>
          <w:szCs w:val="21"/>
        </w:rPr>
        <w:fldChar w:fldCharType="end"/>
      </w:r>
      <w:r w:rsidR="001277CA">
        <w:rPr>
          <w:rFonts w:cstheme="minorHAnsi"/>
          <w:color w:val="000000"/>
          <w:szCs w:val="21"/>
        </w:rPr>
        <w:t>.</w:t>
      </w:r>
    </w:p>
    <w:p w:rsidR="002F4EE7" w:rsidRDefault="002F4EE7" w:rsidP="002F4EE7">
      <w:pPr>
        <w:spacing w:after="180"/>
      </w:pPr>
      <w:r>
        <w:t>Cooling a substance without a change of state reduces the motion of particles and the temperature of the substance. As a substance changes state from a gas to a liquid, or from a liquid to a solid, the particles are pulled together by their electrostatic attraction. The attractive force accelerates particles as they move closer together and the particles’ increased movement prevents the temperature of the substance from falling until the change of state is complete.</w:t>
      </w:r>
    </w:p>
    <w:p w:rsidR="00FB1FF6" w:rsidRPr="0022442F" w:rsidRDefault="00FB1FF6" w:rsidP="002F4EE7">
      <w:pPr>
        <w:spacing w:after="180"/>
        <w:rPr>
          <w:b/>
          <w:color w:val="5F497A" w:themeColor="accent4" w:themeShade="BF"/>
          <w:sz w:val="24"/>
        </w:rPr>
      </w:pPr>
      <w:r w:rsidRPr="0022442F">
        <w:rPr>
          <w:b/>
          <w:color w:val="5F497A" w:themeColor="accent4" w:themeShade="BF"/>
          <w:sz w:val="24"/>
        </w:rPr>
        <w:t>Guidance notes</w:t>
      </w:r>
    </w:p>
    <w:p w:rsidR="003811B6" w:rsidRDefault="006C317E" w:rsidP="00FB1FF6">
      <w:pPr>
        <w:spacing w:after="180"/>
      </w:pPr>
      <w:r>
        <w:t xml:space="preserve">Specific latent heat is a </w:t>
      </w:r>
      <w:r w:rsidR="003811B6">
        <w:t xml:space="preserve">deceptively difficult idea to teach well. Using and applying the equation is relatively easy for many students, but the explanation of why temperature remains constant during a change of state is challenging. The understanding of specific latent heat builds both on a good knowledge of </w:t>
      </w:r>
      <w:r w:rsidR="003811B6">
        <w:lastRenderedPageBreak/>
        <w:t xml:space="preserve">the particulate model of matter, and also on a good understanding of </w:t>
      </w:r>
      <w:r w:rsidR="00282E60">
        <w:t>how a</w:t>
      </w:r>
      <w:r w:rsidR="003811B6">
        <w:t xml:space="preserve"> force </w:t>
      </w:r>
      <w:r w:rsidR="00282E60">
        <w:t>changes the speed of an</w:t>
      </w:r>
      <w:r w:rsidR="003811B6">
        <w:t xml:space="preserve"> object. </w:t>
      </w:r>
      <w:r w:rsidR="00824861">
        <w:t xml:space="preserve">In particular </w:t>
      </w:r>
      <w:r w:rsidR="00282E60">
        <w:t>an</w:t>
      </w:r>
      <w:r w:rsidR="00824861">
        <w:t xml:space="preserve"> explanation of specific latent heat requires a clear understanding that </w:t>
      </w:r>
      <w:r w:rsidR="00282E60">
        <w:t xml:space="preserve">the </w:t>
      </w:r>
      <w:r w:rsidR="00824861">
        <w:t xml:space="preserve">temperature of a substance increases when its particles move more quickly and reduces when </w:t>
      </w:r>
      <w:r w:rsidR="00282E60">
        <w:t>they move less quickly</w:t>
      </w:r>
      <w:r w:rsidR="00824861">
        <w:t>.</w:t>
      </w:r>
    </w:p>
    <w:p w:rsidR="005460C2" w:rsidRDefault="00262157" w:rsidP="00824861">
      <w:pPr>
        <w:spacing w:after="180"/>
      </w:pPr>
      <w:r>
        <w:t xml:space="preserve">At age 14-16 it will suffice for students to say that when a substance is at its melting or boiling point, </w:t>
      </w:r>
      <w:r w:rsidR="008E6998">
        <w:t xml:space="preserve">instead of increasing temperature </w:t>
      </w:r>
      <w:r>
        <w:t xml:space="preserve">energy from heating moves particles apart against an attractive electrostatic </w:t>
      </w:r>
      <w:r w:rsidR="008E6998">
        <w:t>force</w:t>
      </w:r>
      <w:r>
        <w:t xml:space="preserve">. </w:t>
      </w:r>
      <w:r w:rsidR="00A0522A">
        <w:t>When</w:t>
      </w:r>
      <w:r>
        <w:t xml:space="preserve"> a substance is cooling (transferring energy to its surroundings) at its melting or boiling point electrostatic forces do work on particles to pull them together, which stops the </w:t>
      </w:r>
      <w:r w:rsidR="00EE617F">
        <w:t xml:space="preserve">average speed of </w:t>
      </w:r>
      <w:r>
        <w:t xml:space="preserve">particles from </w:t>
      </w:r>
      <w:r w:rsidR="00EE617F">
        <w:t>reducing</w:t>
      </w:r>
      <w:r>
        <w:t xml:space="preserve"> and the temperature from falling.</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390D0C" w:rsidRPr="00390D0C" w:rsidRDefault="000B4EA3" w:rsidP="001277CA">
      <w:pPr>
        <w:pStyle w:val="EndNoteBibliography"/>
        <w:spacing w:after="120"/>
        <w:ind w:left="426" w:hanging="426"/>
      </w:pPr>
      <w:r>
        <w:fldChar w:fldCharType="begin"/>
      </w:r>
      <w:r>
        <w:instrText xml:space="preserve"> ADDIN EN.REFLIST </w:instrText>
      </w:r>
      <w:r>
        <w:fldChar w:fldCharType="separate"/>
      </w:r>
      <w:r w:rsidR="00390D0C" w:rsidRPr="00390D0C">
        <w:t xml:space="preserve">AAAS. </w:t>
      </w:r>
      <w:r w:rsidR="00390D0C" w:rsidRPr="00390D0C">
        <w:rPr>
          <w:i/>
        </w:rPr>
        <w:t xml:space="preserve">Science Assessment Topic: Atoms, Molecules and States of Matter </w:t>
      </w:r>
      <w:r w:rsidR="00390D0C" w:rsidRPr="00390D0C">
        <w:t xml:space="preserve">[Online]. Available at: </w:t>
      </w:r>
      <w:hyperlink r:id="rId19" w:history="1">
        <w:r w:rsidR="00390D0C" w:rsidRPr="00390D0C">
          <w:rPr>
            <w:rStyle w:val="Hyperlink"/>
          </w:rPr>
          <w:t>http://assessment.aaas.org/</w:t>
        </w:r>
      </w:hyperlink>
      <w:r w:rsidR="00390D0C" w:rsidRPr="00390D0C">
        <w:t xml:space="preserve"> [Accessed July 2020</w:t>
      </w:r>
      <w:r w:rsidR="001277CA">
        <w:t>]</w:t>
      </w:r>
      <w:r w:rsidR="00390D0C" w:rsidRPr="00390D0C">
        <w:t>.</w:t>
      </w:r>
    </w:p>
    <w:p w:rsidR="00390D0C" w:rsidRPr="00390D0C" w:rsidRDefault="00390D0C" w:rsidP="001277CA">
      <w:pPr>
        <w:pStyle w:val="EndNoteBibliography"/>
        <w:spacing w:after="120"/>
        <w:ind w:left="426" w:hanging="426"/>
      </w:pPr>
      <w:r w:rsidRPr="00390D0C">
        <w:t xml:space="preserve">Adadan, E. and Yavuzkaya, M. N. (2018). Examining the progression and consistency of thermal concepts: a cross age study. </w:t>
      </w:r>
      <w:r w:rsidRPr="00390D0C">
        <w:rPr>
          <w:i/>
        </w:rPr>
        <w:t>International Journal of Science Education,</w:t>
      </w:r>
      <w:r w:rsidRPr="00390D0C">
        <w:t xml:space="preserve"> 40 (4)</w:t>
      </w:r>
      <w:r w:rsidRPr="00390D0C">
        <w:rPr>
          <w:b/>
        </w:rPr>
        <w:t>,</w:t>
      </w:r>
      <w:r w:rsidRPr="00390D0C">
        <w:t xml:space="preserve"> 371-396.</w:t>
      </w:r>
    </w:p>
    <w:p w:rsidR="00390D0C" w:rsidRPr="00390D0C" w:rsidRDefault="00390D0C" w:rsidP="001277CA">
      <w:pPr>
        <w:pStyle w:val="EndNoteBibliography"/>
        <w:spacing w:after="120"/>
        <w:ind w:left="426" w:hanging="426"/>
      </w:pPr>
      <w:r w:rsidRPr="00390D0C">
        <w:t xml:space="preserve">Bauer, C. F. and Chan, J. Y. K. (2019). Non-science majors learn about heat, temperature, and thermodynamics using the particulate nature of matter and guided-inquiry instruction. </w:t>
      </w:r>
      <w:r w:rsidRPr="00390D0C">
        <w:rPr>
          <w:i/>
        </w:rPr>
        <w:t>American Journal of Physics,</w:t>
      </w:r>
      <w:r w:rsidRPr="00390D0C">
        <w:t xml:space="preserve"> 87</w:t>
      </w:r>
      <w:r w:rsidRPr="00390D0C">
        <w:rPr>
          <w:b/>
        </w:rPr>
        <w:t>,</w:t>
      </w:r>
      <w:r w:rsidRPr="00390D0C">
        <w:t xml:space="preserve"> 550-557.</w:t>
      </w:r>
    </w:p>
    <w:p w:rsidR="00390D0C" w:rsidRPr="00390D0C" w:rsidRDefault="00390D0C" w:rsidP="001277CA">
      <w:pPr>
        <w:pStyle w:val="EndNoteBibliography"/>
        <w:spacing w:after="120"/>
        <w:ind w:left="426" w:hanging="426"/>
      </w:pPr>
      <w:r w:rsidRPr="00390D0C">
        <w:t xml:space="preserve">Chu, H.-E., et al. (2012). Evaluation of Students' Understanding of Thermal Concepts in Everyday Contexts. </w:t>
      </w:r>
      <w:r w:rsidRPr="00390D0C">
        <w:rPr>
          <w:i/>
        </w:rPr>
        <w:t>International Journal of Science Education,</w:t>
      </w:r>
      <w:r w:rsidRPr="00390D0C">
        <w:t xml:space="preserve"> 34:10</w:t>
      </w:r>
      <w:r w:rsidRPr="00390D0C">
        <w:rPr>
          <w:b/>
        </w:rPr>
        <w:t>,</w:t>
      </w:r>
      <w:r w:rsidRPr="00390D0C">
        <w:t xml:space="preserve"> 1509-1534.</w:t>
      </w:r>
    </w:p>
    <w:p w:rsidR="00390D0C" w:rsidRPr="00390D0C" w:rsidRDefault="00390D0C" w:rsidP="001277CA">
      <w:pPr>
        <w:pStyle w:val="EndNoteBibliography"/>
        <w:spacing w:after="120"/>
        <w:ind w:left="426" w:hanging="426"/>
      </w:pPr>
      <w:r w:rsidRPr="00390D0C">
        <w:t xml:space="preserve">Kacovsky, P. (2015). Grammar school students' misconceptions concerning thermal phenmomena. </w:t>
      </w:r>
      <w:r w:rsidRPr="00390D0C">
        <w:rPr>
          <w:i/>
        </w:rPr>
        <w:t>Journal of Baltic Science Education,</w:t>
      </w:r>
      <w:r w:rsidRPr="00390D0C">
        <w:t xml:space="preserve"> 14(2)</w:t>
      </w:r>
      <w:r w:rsidRPr="00390D0C">
        <w:rPr>
          <w:b/>
        </w:rPr>
        <w:t>,</w:t>
      </w:r>
      <w:r w:rsidRPr="00390D0C">
        <w:t xml:space="preserve"> 194-206.</w:t>
      </w:r>
    </w:p>
    <w:p w:rsidR="00D43788" w:rsidRDefault="00390D0C" w:rsidP="001277CA">
      <w:pPr>
        <w:pStyle w:val="EndNoteBibliography"/>
        <w:spacing w:after="120"/>
        <w:ind w:left="426" w:hanging="426"/>
      </w:pPr>
      <w:r w:rsidRPr="00390D0C">
        <w:t xml:space="preserve">Millar, R. (2011). Energy. In Sang, D. (ed.) </w:t>
      </w:r>
      <w:r w:rsidRPr="00390D0C">
        <w:rPr>
          <w:i/>
        </w:rPr>
        <w:t>Teaching Secondary Physics.</w:t>
      </w:r>
      <w:r w:rsidRPr="00390D0C">
        <w:t xml:space="preserve"> London: Hodder Education.</w:t>
      </w:r>
      <w:r w:rsidR="000B4EA3">
        <w:fldChar w:fldCharType="end"/>
      </w:r>
    </w:p>
    <w:sectPr w:rsidR="00D43788" w:rsidSect="00F34FD0">
      <w:headerReference w:type="default" r:id="rId20"/>
      <w:footerReference w:type="default" r:id="rId2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178" w:rsidRDefault="00DE5178" w:rsidP="000B473B">
      <w:r>
        <w:separator/>
      </w:r>
    </w:p>
  </w:endnote>
  <w:endnote w:type="continuationSeparator" w:id="0">
    <w:p w:rsidR="00DE5178" w:rsidRDefault="00DE517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8DC137"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56C5B">
      <w:rPr>
        <w:noProof/>
      </w:rPr>
      <w:t>6</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178" w:rsidRDefault="00DE5178" w:rsidP="000B473B">
      <w:r>
        <w:separator/>
      </w:r>
    </w:p>
  </w:footnote>
  <w:footnote w:type="continuationSeparator" w:id="0">
    <w:p w:rsidR="00DE5178" w:rsidRDefault="00DE517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CD7F8D"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E592B"/>
    <w:multiLevelType w:val="hybridMultilevel"/>
    <w:tmpl w:val="09066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1793773"/>
    <w:multiLevelType w:val="hybridMultilevel"/>
    <w:tmpl w:val="FB28C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5"/>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E5178"/>
    <w:rsid w:val="000026EA"/>
    <w:rsid w:val="00015578"/>
    <w:rsid w:val="00016F9B"/>
    <w:rsid w:val="00021709"/>
    <w:rsid w:val="00024731"/>
    <w:rsid w:val="00026DEC"/>
    <w:rsid w:val="0003079C"/>
    <w:rsid w:val="000323DD"/>
    <w:rsid w:val="000345C4"/>
    <w:rsid w:val="00036EBA"/>
    <w:rsid w:val="000505CA"/>
    <w:rsid w:val="0005709C"/>
    <w:rsid w:val="000719AC"/>
    <w:rsid w:val="00082A5D"/>
    <w:rsid w:val="000947E2"/>
    <w:rsid w:val="00095E04"/>
    <w:rsid w:val="000A4D1F"/>
    <w:rsid w:val="000B473B"/>
    <w:rsid w:val="000B4EA3"/>
    <w:rsid w:val="000D0E89"/>
    <w:rsid w:val="000D2978"/>
    <w:rsid w:val="000E2689"/>
    <w:rsid w:val="000E6E87"/>
    <w:rsid w:val="000F5E42"/>
    <w:rsid w:val="00104331"/>
    <w:rsid w:val="00110BA3"/>
    <w:rsid w:val="001277CA"/>
    <w:rsid w:val="00137415"/>
    <w:rsid w:val="00142613"/>
    <w:rsid w:val="00144DA7"/>
    <w:rsid w:val="00161D3F"/>
    <w:rsid w:val="0016334B"/>
    <w:rsid w:val="001915D4"/>
    <w:rsid w:val="001A1FED"/>
    <w:rsid w:val="001A40E2"/>
    <w:rsid w:val="001B2603"/>
    <w:rsid w:val="001C42A1"/>
    <w:rsid w:val="001C4805"/>
    <w:rsid w:val="001C51BD"/>
    <w:rsid w:val="001F285E"/>
    <w:rsid w:val="001F2B4D"/>
    <w:rsid w:val="00204753"/>
    <w:rsid w:val="002178AC"/>
    <w:rsid w:val="00223388"/>
    <w:rsid w:val="0022442F"/>
    <w:rsid w:val="00224B69"/>
    <w:rsid w:val="0022547C"/>
    <w:rsid w:val="00233BFE"/>
    <w:rsid w:val="0025410A"/>
    <w:rsid w:val="00254B3F"/>
    <w:rsid w:val="00261703"/>
    <w:rsid w:val="00262157"/>
    <w:rsid w:val="00273117"/>
    <w:rsid w:val="0028012F"/>
    <w:rsid w:val="00280B49"/>
    <w:rsid w:val="00282E60"/>
    <w:rsid w:val="00287876"/>
    <w:rsid w:val="0029248B"/>
    <w:rsid w:val="00292C53"/>
    <w:rsid w:val="00294E22"/>
    <w:rsid w:val="00295D89"/>
    <w:rsid w:val="002A0EF2"/>
    <w:rsid w:val="002C194B"/>
    <w:rsid w:val="002C36ED"/>
    <w:rsid w:val="002C59BA"/>
    <w:rsid w:val="002C7B62"/>
    <w:rsid w:val="002E1DD2"/>
    <w:rsid w:val="002F08DF"/>
    <w:rsid w:val="002F0E99"/>
    <w:rsid w:val="002F3535"/>
    <w:rsid w:val="002F4EE7"/>
    <w:rsid w:val="002F73A9"/>
    <w:rsid w:val="00301AA9"/>
    <w:rsid w:val="003117F6"/>
    <w:rsid w:val="003512FB"/>
    <w:rsid w:val="003533B8"/>
    <w:rsid w:val="00354A9D"/>
    <w:rsid w:val="003752BE"/>
    <w:rsid w:val="00377662"/>
    <w:rsid w:val="003811AD"/>
    <w:rsid w:val="003811B6"/>
    <w:rsid w:val="00381441"/>
    <w:rsid w:val="00383970"/>
    <w:rsid w:val="00390D0C"/>
    <w:rsid w:val="003A346A"/>
    <w:rsid w:val="003B13BC"/>
    <w:rsid w:val="003B2917"/>
    <w:rsid w:val="003B3A28"/>
    <w:rsid w:val="003B541B"/>
    <w:rsid w:val="003C7537"/>
    <w:rsid w:val="003D5D48"/>
    <w:rsid w:val="003E2B2F"/>
    <w:rsid w:val="003E6046"/>
    <w:rsid w:val="003F16F9"/>
    <w:rsid w:val="00412CEE"/>
    <w:rsid w:val="00430C1F"/>
    <w:rsid w:val="00437318"/>
    <w:rsid w:val="00442595"/>
    <w:rsid w:val="00445CE2"/>
    <w:rsid w:val="00450457"/>
    <w:rsid w:val="0045323E"/>
    <w:rsid w:val="00456C5B"/>
    <w:rsid w:val="0047091F"/>
    <w:rsid w:val="00473E00"/>
    <w:rsid w:val="00482DEB"/>
    <w:rsid w:val="004840DE"/>
    <w:rsid w:val="004B0EE1"/>
    <w:rsid w:val="004C674A"/>
    <w:rsid w:val="004D0D83"/>
    <w:rsid w:val="004E1DF1"/>
    <w:rsid w:val="004E2255"/>
    <w:rsid w:val="004E5592"/>
    <w:rsid w:val="004F3A89"/>
    <w:rsid w:val="0050055B"/>
    <w:rsid w:val="00524710"/>
    <w:rsid w:val="00530F9A"/>
    <w:rsid w:val="00532725"/>
    <w:rsid w:val="005438B1"/>
    <w:rsid w:val="005460C2"/>
    <w:rsid w:val="0055103D"/>
    <w:rsid w:val="005519D4"/>
    <w:rsid w:val="00555342"/>
    <w:rsid w:val="005560E2"/>
    <w:rsid w:val="00572BF4"/>
    <w:rsid w:val="00575039"/>
    <w:rsid w:val="005767D5"/>
    <w:rsid w:val="0057687C"/>
    <w:rsid w:val="00596049"/>
    <w:rsid w:val="005A452E"/>
    <w:rsid w:val="005B1B20"/>
    <w:rsid w:val="005B4275"/>
    <w:rsid w:val="005B6C6A"/>
    <w:rsid w:val="005C754D"/>
    <w:rsid w:val="005E383D"/>
    <w:rsid w:val="005E4A00"/>
    <w:rsid w:val="005F115D"/>
    <w:rsid w:val="005F454A"/>
    <w:rsid w:val="00605A57"/>
    <w:rsid w:val="00620AFF"/>
    <w:rsid w:val="00622510"/>
    <w:rsid w:val="0062410D"/>
    <w:rsid w:val="006355D8"/>
    <w:rsid w:val="00642ECD"/>
    <w:rsid w:val="0065024C"/>
    <w:rsid w:val="006502A0"/>
    <w:rsid w:val="00660A99"/>
    <w:rsid w:val="006772F5"/>
    <w:rsid w:val="006A01DE"/>
    <w:rsid w:val="006B0615"/>
    <w:rsid w:val="006C2DD9"/>
    <w:rsid w:val="006C317E"/>
    <w:rsid w:val="006D166B"/>
    <w:rsid w:val="006E616D"/>
    <w:rsid w:val="006E73AB"/>
    <w:rsid w:val="006F01D8"/>
    <w:rsid w:val="006F3279"/>
    <w:rsid w:val="00704AEE"/>
    <w:rsid w:val="007100E4"/>
    <w:rsid w:val="00722F9A"/>
    <w:rsid w:val="00754539"/>
    <w:rsid w:val="00757297"/>
    <w:rsid w:val="00760E08"/>
    <w:rsid w:val="00761D32"/>
    <w:rsid w:val="00793235"/>
    <w:rsid w:val="00795CB4"/>
    <w:rsid w:val="007A3C86"/>
    <w:rsid w:val="007A683E"/>
    <w:rsid w:val="007A748B"/>
    <w:rsid w:val="007C3B28"/>
    <w:rsid w:val="007D1D65"/>
    <w:rsid w:val="007D2954"/>
    <w:rsid w:val="007E0A9E"/>
    <w:rsid w:val="007E5309"/>
    <w:rsid w:val="00800DE1"/>
    <w:rsid w:val="00802843"/>
    <w:rsid w:val="00813F47"/>
    <w:rsid w:val="00821188"/>
    <w:rsid w:val="00824861"/>
    <w:rsid w:val="008278DF"/>
    <w:rsid w:val="008450D6"/>
    <w:rsid w:val="008544D9"/>
    <w:rsid w:val="00856FCA"/>
    <w:rsid w:val="00872EB4"/>
    <w:rsid w:val="00873B8C"/>
    <w:rsid w:val="00891C15"/>
    <w:rsid w:val="00894AE5"/>
    <w:rsid w:val="008A0C39"/>
    <w:rsid w:val="008A405F"/>
    <w:rsid w:val="008A4BCA"/>
    <w:rsid w:val="008C7F34"/>
    <w:rsid w:val="008E032D"/>
    <w:rsid w:val="008E13E0"/>
    <w:rsid w:val="008E2208"/>
    <w:rsid w:val="008E580C"/>
    <w:rsid w:val="008E6998"/>
    <w:rsid w:val="0090047A"/>
    <w:rsid w:val="00913AD8"/>
    <w:rsid w:val="00917940"/>
    <w:rsid w:val="00925026"/>
    <w:rsid w:val="00931264"/>
    <w:rsid w:val="00940006"/>
    <w:rsid w:val="00942A4B"/>
    <w:rsid w:val="00961D59"/>
    <w:rsid w:val="0097779E"/>
    <w:rsid w:val="009B2D55"/>
    <w:rsid w:val="009C0343"/>
    <w:rsid w:val="009D35C6"/>
    <w:rsid w:val="009D762B"/>
    <w:rsid w:val="009E0D11"/>
    <w:rsid w:val="009F7BE5"/>
    <w:rsid w:val="00A01C45"/>
    <w:rsid w:val="00A0522A"/>
    <w:rsid w:val="00A14B9C"/>
    <w:rsid w:val="00A24A16"/>
    <w:rsid w:val="00A314B6"/>
    <w:rsid w:val="00A37D14"/>
    <w:rsid w:val="00A6168B"/>
    <w:rsid w:val="00A62028"/>
    <w:rsid w:val="00A6248B"/>
    <w:rsid w:val="00AA6236"/>
    <w:rsid w:val="00AA66F3"/>
    <w:rsid w:val="00AB6AE7"/>
    <w:rsid w:val="00AC6359"/>
    <w:rsid w:val="00AD21F5"/>
    <w:rsid w:val="00AD5043"/>
    <w:rsid w:val="00AE3956"/>
    <w:rsid w:val="00AE5FB7"/>
    <w:rsid w:val="00AF0E74"/>
    <w:rsid w:val="00AF7B54"/>
    <w:rsid w:val="00AF7DB9"/>
    <w:rsid w:val="00B06225"/>
    <w:rsid w:val="00B07801"/>
    <w:rsid w:val="00B163B2"/>
    <w:rsid w:val="00B23C7A"/>
    <w:rsid w:val="00B27ED6"/>
    <w:rsid w:val="00B346B5"/>
    <w:rsid w:val="00B37C53"/>
    <w:rsid w:val="00B42E62"/>
    <w:rsid w:val="00B46FF9"/>
    <w:rsid w:val="00B6703E"/>
    <w:rsid w:val="00B75483"/>
    <w:rsid w:val="00B81360"/>
    <w:rsid w:val="00B900F1"/>
    <w:rsid w:val="00BA5A78"/>
    <w:rsid w:val="00BA7952"/>
    <w:rsid w:val="00BB3EA6"/>
    <w:rsid w:val="00BB558B"/>
    <w:rsid w:val="00BC75F7"/>
    <w:rsid w:val="00BD3160"/>
    <w:rsid w:val="00BD6C41"/>
    <w:rsid w:val="00BE27BE"/>
    <w:rsid w:val="00BF0BBF"/>
    <w:rsid w:val="00BF6C8A"/>
    <w:rsid w:val="00C05571"/>
    <w:rsid w:val="00C06521"/>
    <w:rsid w:val="00C1226E"/>
    <w:rsid w:val="00C15989"/>
    <w:rsid w:val="00C246CE"/>
    <w:rsid w:val="00C5553B"/>
    <w:rsid w:val="00C57FA2"/>
    <w:rsid w:val="00C63844"/>
    <w:rsid w:val="00C64AC1"/>
    <w:rsid w:val="00C72918"/>
    <w:rsid w:val="00C8765D"/>
    <w:rsid w:val="00C9265A"/>
    <w:rsid w:val="00CC2E4D"/>
    <w:rsid w:val="00CC4AD1"/>
    <w:rsid w:val="00CC78A5"/>
    <w:rsid w:val="00CC7B16"/>
    <w:rsid w:val="00CD2673"/>
    <w:rsid w:val="00CD60B8"/>
    <w:rsid w:val="00CE15FE"/>
    <w:rsid w:val="00CE7273"/>
    <w:rsid w:val="00D02E15"/>
    <w:rsid w:val="00D14F44"/>
    <w:rsid w:val="00D278E8"/>
    <w:rsid w:val="00D37CDC"/>
    <w:rsid w:val="00D40D1E"/>
    <w:rsid w:val="00D421C8"/>
    <w:rsid w:val="00D43788"/>
    <w:rsid w:val="00D44604"/>
    <w:rsid w:val="00D45BD7"/>
    <w:rsid w:val="00D479B3"/>
    <w:rsid w:val="00D51657"/>
    <w:rsid w:val="00D52283"/>
    <w:rsid w:val="00D524E5"/>
    <w:rsid w:val="00D614B5"/>
    <w:rsid w:val="00D656B1"/>
    <w:rsid w:val="00D72FEF"/>
    <w:rsid w:val="00D755FA"/>
    <w:rsid w:val="00D84AC0"/>
    <w:rsid w:val="00DB7449"/>
    <w:rsid w:val="00DB7471"/>
    <w:rsid w:val="00DC1C34"/>
    <w:rsid w:val="00DC4A4E"/>
    <w:rsid w:val="00DD1874"/>
    <w:rsid w:val="00DD63BD"/>
    <w:rsid w:val="00DE5178"/>
    <w:rsid w:val="00E02BCA"/>
    <w:rsid w:val="00E1542D"/>
    <w:rsid w:val="00E172C6"/>
    <w:rsid w:val="00E22B55"/>
    <w:rsid w:val="00E24309"/>
    <w:rsid w:val="00E24902"/>
    <w:rsid w:val="00E2512F"/>
    <w:rsid w:val="00E31116"/>
    <w:rsid w:val="00E53D82"/>
    <w:rsid w:val="00E54437"/>
    <w:rsid w:val="00E753A9"/>
    <w:rsid w:val="00E75DFB"/>
    <w:rsid w:val="00E85A74"/>
    <w:rsid w:val="00E90446"/>
    <w:rsid w:val="00E91B0C"/>
    <w:rsid w:val="00EA4045"/>
    <w:rsid w:val="00EE617F"/>
    <w:rsid w:val="00EE6B97"/>
    <w:rsid w:val="00F06EB1"/>
    <w:rsid w:val="00F12C3B"/>
    <w:rsid w:val="00F15D9D"/>
    <w:rsid w:val="00F25D2F"/>
    <w:rsid w:val="00F26884"/>
    <w:rsid w:val="00F34FD0"/>
    <w:rsid w:val="00F40370"/>
    <w:rsid w:val="00F604E7"/>
    <w:rsid w:val="00F66FF6"/>
    <w:rsid w:val="00F74824"/>
    <w:rsid w:val="00F75F0D"/>
    <w:rsid w:val="00F82443"/>
    <w:rsid w:val="00F8355F"/>
    <w:rsid w:val="00F90D64"/>
    <w:rsid w:val="00F95B9B"/>
    <w:rsid w:val="00F95F3E"/>
    <w:rsid w:val="00FA14FE"/>
    <w:rsid w:val="00FA3196"/>
    <w:rsid w:val="00FB1FF6"/>
    <w:rsid w:val="00FC3779"/>
    <w:rsid w:val="00FE427C"/>
    <w:rsid w:val="00FE7866"/>
    <w:rsid w:val="00FF4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C447F3F"/>
  <w15:docId w15:val="{68C5C3AA-48D7-4DA7-A909-3BEC4FC2A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customStyle="1" w:styleId="EndNoteBibliographyTitle">
    <w:name w:val="EndNote Bibliography Title"/>
    <w:basedOn w:val="Normal"/>
    <w:link w:val="EndNoteBibliographyTitleChar"/>
    <w:rsid w:val="000B4EA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B4EA3"/>
    <w:rPr>
      <w:rFonts w:ascii="Calibri" w:hAnsi="Calibri" w:cs="Calibri"/>
      <w:noProof/>
      <w:lang w:val="en-US"/>
    </w:rPr>
  </w:style>
  <w:style w:type="paragraph" w:customStyle="1" w:styleId="EndNoteBibliography">
    <w:name w:val="EndNote Bibliography"/>
    <w:basedOn w:val="Normal"/>
    <w:link w:val="EndNoteBibliographyChar"/>
    <w:rsid w:val="000B4EA3"/>
    <w:rPr>
      <w:rFonts w:ascii="Calibri" w:hAnsi="Calibri" w:cs="Calibri"/>
      <w:noProof/>
      <w:lang w:val="en-US"/>
    </w:rPr>
  </w:style>
  <w:style w:type="character" w:customStyle="1" w:styleId="EndNoteBibliographyChar">
    <w:name w:val="EndNote Bibliography Char"/>
    <w:basedOn w:val="DefaultParagraphFont"/>
    <w:link w:val="EndNoteBibliography"/>
    <w:rsid w:val="000B4EA3"/>
    <w:rPr>
      <w:rFonts w:ascii="Calibri" w:hAnsi="Calibri" w:cs="Calibri"/>
      <w:noProof/>
      <w:lang w:val="en-US"/>
    </w:rPr>
  </w:style>
  <w:style w:type="character" w:styleId="Hyperlink">
    <w:name w:val="Hyperlink"/>
    <w:basedOn w:val="DefaultParagraphFont"/>
    <w:uiPriority w:val="99"/>
    <w:unhideWhenUsed/>
    <w:rsid w:val="00445C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tmp"/><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tmp"/><Relationship Id="rId2" Type="http://schemas.openxmlformats.org/officeDocument/2006/relationships/styles" Target="styles.xml"/><Relationship Id="rId16" Type="http://schemas.openxmlformats.org/officeDocument/2006/relationships/image" Target="media/image10.tmp"/><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assessment.aaas.org/" TargetMode="External"/><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983</TotalTime>
  <Pages>6</Pages>
  <Words>2641</Words>
  <Characters>15060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77</cp:revision>
  <cp:lastPrinted>2018-01-23T10:03:00Z</cp:lastPrinted>
  <dcterms:created xsi:type="dcterms:W3CDTF">2020-07-28T12:09:00Z</dcterms:created>
  <dcterms:modified xsi:type="dcterms:W3CDTF">2020-08-07T14:15:00Z</dcterms:modified>
</cp:coreProperties>
</file>